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00" w:rsidRPr="003C302E" w:rsidRDefault="00777300" w:rsidP="003C302E">
      <w:pPr>
        <w:ind w:firstLine="2"/>
        <w:jc w:val="center"/>
        <w:rPr>
          <w:rFonts w:ascii="Arial" w:eastAsia="標楷體" w:hAnsi="標楷體"/>
          <w:b/>
          <w:sz w:val="36"/>
          <w:szCs w:val="36"/>
        </w:rPr>
      </w:pPr>
      <w:r w:rsidRPr="003C302E">
        <w:rPr>
          <w:rFonts w:ascii="Arial" w:eastAsia="標楷體" w:hAnsi="標楷體" w:hint="eastAsia"/>
          <w:b/>
          <w:sz w:val="36"/>
          <w:szCs w:val="36"/>
        </w:rPr>
        <w:t>非都市土地變更申請案件</w:t>
      </w:r>
    </w:p>
    <w:p w:rsidR="00777300" w:rsidRPr="008A4255" w:rsidRDefault="00777300" w:rsidP="003C302E">
      <w:pPr>
        <w:numPr>
          <w:ilvl w:val="0"/>
          <w:numId w:val="4"/>
        </w:numPr>
        <w:spacing w:line="400" w:lineRule="exact"/>
        <w:ind w:left="1491" w:hanging="357"/>
        <w:rPr>
          <w:rFonts w:ascii="Arial" w:eastAsia="標楷體" w:hAnsi="Arial"/>
          <w:b/>
          <w:sz w:val="28"/>
        </w:rPr>
      </w:pPr>
      <w:r w:rsidRPr="008A4255">
        <w:rPr>
          <w:rFonts w:ascii="Arial" w:eastAsia="標楷體" w:hAnsi="標楷體" w:hint="eastAsia"/>
          <w:b/>
          <w:sz w:val="28"/>
        </w:rPr>
        <w:t>區域計畫擬定機關限期補正通知書</w:t>
      </w:r>
    </w:p>
    <w:p w:rsidR="00777300" w:rsidRPr="008A4255" w:rsidRDefault="00777300" w:rsidP="003C302E">
      <w:pPr>
        <w:numPr>
          <w:ilvl w:val="0"/>
          <w:numId w:val="4"/>
        </w:numPr>
        <w:spacing w:line="400" w:lineRule="exact"/>
        <w:ind w:left="1491" w:hanging="357"/>
        <w:rPr>
          <w:rFonts w:ascii="Arial" w:eastAsia="標楷體" w:hAnsi="Arial"/>
          <w:b/>
          <w:sz w:val="28"/>
        </w:rPr>
      </w:pPr>
      <w:r w:rsidRPr="008A4255">
        <w:rPr>
          <w:rFonts w:ascii="Arial" w:eastAsia="標楷體" w:hAnsi="標楷體" w:hint="eastAsia"/>
          <w:b/>
          <w:sz w:val="28"/>
        </w:rPr>
        <w:t>區域計畫擬定機關委託直轄市縣（市）政府辦理審查限期補正通知書</w:t>
      </w:r>
    </w:p>
    <w:tbl>
      <w:tblPr>
        <w:tblW w:w="106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77"/>
        <w:gridCol w:w="1094"/>
        <w:gridCol w:w="1658"/>
      </w:tblGrid>
      <w:tr w:rsidR="00777300" w:rsidRPr="008A4255" w:rsidTr="003C302E">
        <w:trPr>
          <w:trHeight w:val="347"/>
        </w:trPr>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計畫名稱</w:t>
            </w:r>
          </w:p>
        </w:tc>
        <w:tc>
          <w:tcPr>
            <w:tcW w:w="6077" w:type="dxa"/>
          </w:tcPr>
          <w:p w:rsidR="00777300" w:rsidRPr="00B72FD7" w:rsidRDefault="00777300">
            <w:pPr>
              <w:rPr>
                <w:rFonts w:ascii="Arial" w:eastAsia="標楷體" w:hAnsi="標楷體"/>
              </w:rPr>
            </w:pPr>
          </w:p>
        </w:tc>
        <w:tc>
          <w:tcPr>
            <w:tcW w:w="1094" w:type="dxa"/>
          </w:tcPr>
          <w:p w:rsidR="00777300" w:rsidRPr="008A4255" w:rsidRDefault="00777300">
            <w:pPr>
              <w:rPr>
                <w:rFonts w:ascii="Arial" w:eastAsia="標楷體" w:hAnsi="Arial"/>
              </w:rPr>
            </w:pPr>
            <w:r w:rsidRPr="008A4255">
              <w:rPr>
                <w:rFonts w:ascii="Arial" w:eastAsia="標楷體" w:hAnsi="標楷體" w:hint="eastAsia"/>
              </w:rPr>
              <w:t>開發面積</w:t>
            </w:r>
          </w:p>
        </w:tc>
        <w:tc>
          <w:tcPr>
            <w:tcW w:w="1658" w:type="dxa"/>
          </w:tcPr>
          <w:p w:rsidR="00777300" w:rsidRPr="008A4255" w:rsidRDefault="00C92AD5" w:rsidP="00B915E7">
            <w:pPr>
              <w:ind w:firstLineChars="400" w:firstLine="960"/>
              <w:rPr>
                <w:rFonts w:ascii="Arial" w:eastAsia="標楷體" w:hAnsi="Arial"/>
              </w:rPr>
            </w:pPr>
            <w:r w:rsidRPr="008A4255">
              <w:rPr>
                <w:rFonts w:ascii="Arial" w:eastAsia="標楷體" w:hAnsi="標楷體" w:hint="eastAsia"/>
              </w:rPr>
              <w:t>公頃</w:t>
            </w:r>
          </w:p>
        </w:tc>
      </w:tr>
      <w:tr w:rsidR="00777300" w:rsidRPr="008A4255" w:rsidTr="003C302E">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開發區位</w:t>
            </w:r>
          </w:p>
        </w:tc>
        <w:tc>
          <w:tcPr>
            <w:tcW w:w="8829" w:type="dxa"/>
            <w:gridSpan w:val="3"/>
          </w:tcPr>
          <w:p w:rsidR="00777300" w:rsidRPr="009847BB" w:rsidRDefault="00777300">
            <w:pPr>
              <w:rPr>
                <w:rFonts w:ascii="Arial" w:eastAsia="標楷體" w:hAnsi="Arial"/>
              </w:rPr>
            </w:pPr>
          </w:p>
        </w:tc>
      </w:tr>
      <w:tr w:rsidR="00777300" w:rsidRPr="008A4255" w:rsidTr="003C302E">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申請人（或公司）</w:t>
            </w:r>
          </w:p>
        </w:tc>
        <w:tc>
          <w:tcPr>
            <w:tcW w:w="8829" w:type="dxa"/>
            <w:gridSpan w:val="3"/>
          </w:tcPr>
          <w:p w:rsidR="00777300" w:rsidRPr="005F3481" w:rsidRDefault="00777300">
            <w:pPr>
              <w:rPr>
                <w:rFonts w:ascii="Arial" w:eastAsia="標楷體" w:hAnsi="標楷體"/>
              </w:rPr>
            </w:pPr>
          </w:p>
        </w:tc>
      </w:tr>
      <w:tr w:rsidR="00777300" w:rsidRPr="008A4255" w:rsidTr="003C302E">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地址</w:t>
            </w:r>
          </w:p>
        </w:tc>
        <w:tc>
          <w:tcPr>
            <w:tcW w:w="8829" w:type="dxa"/>
            <w:gridSpan w:val="3"/>
          </w:tcPr>
          <w:p w:rsidR="00777300" w:rsidRPr="00D42C1A" w:rsidRDefault="00777300">
            <w:pPr>
              <w:rPr>
                <w:rFonts w:ascii="Arial" w:eastAsia="標楷體" w:hAnsi="標楷體"/>
              </w:rPr>
            </w:pPr>
          </w:p>
        </w:tc>
      </w:tr>
      <w:tr w:rsidR="00777300" w:rsidRPr="008A4255" w:rsidTr="003C302E">
        <w:trPr>
          <w:cantSplit/>
        </w:trPr>
        <w:tc>
          <w:tcPr>
            <w:tcW w:w="1843" w:type="dxa"/>
            <w:vMerge w:val="restart"/>
          </w:tcPr>
          <w:p w:rsidR="00777300" w:rsidRPr="008A4255" w:rsidRDefault="00777300">
            <w:pPr>
              <w:jc w:val="both"/>
              <w:rPr>
                <w:rFonts w:ascii="Arial" w:eastAsia="標楷體" w:hAnsi="Arial"/>
              </w:rPr>
            </w:pPr>
            <w:r w:rsidRPr="008A4255">
              <w:rPr>
                <w:rFonts w:ascii="Arial" w:eastAsia="標楷體" w:hAnsi="標楷體" w:hint="eastAsia"/>
              </w:rPr>
              <w:t>審議進度</w:t>
            </w:r>
          </w:p>
        </w:tc>
        <w:tc>
          <w:tcPr>
            <w:tcW w:w="8829" w:type="dxa"/>
            <w:gridSpan w:val="3"/>
          </w:tcPr>
          <w:p w:rsidR="00777300" w:rsidRPr="00852BC6" w:rsidRDefault="008E09DD" w:rsidP="00857CD2">
            <w:pPr>
              <w:spacing w:line="320" w:lineRule="exact"/>
              <w:ind w:left="1680" w:hanging="1680"/>
              <w:jc w:val="both"/>
              <w:rPr>
                <w:rFonts w:ascii="Arial" w:eastAsia="標楷體" w:hAnsi="Arial"/>
              </w:rPr>
            </w:pPr>
            <w:r w:rsidRPr="00852BC6">
              <w:rPr>
                <w:rFonts w:ascii="Arial" w:eastAsia="標楷體" w:hAnsi="Arial" w:hint="eastAsia"/>
              </w:rPr>
              <w:t>□</w:t>
            </w:r>
            <w:r w:rsidR="00777300" w:rsidRPr="00852BC6">
              <w:rPr>
                <w:rFonts w:ascii="Arial" w:eastAsia="標楷體" w:hAnsi="標楷體" w:hint="eastAsia"/>
              </w:rPr>
              <w:t>第一類案件：</w:t>
            </w:r>
            <w:r w:rsidR="003346C5" w:rsidRPr="00852BC6">
              <w:rPr>
                <w:rFonts w:ascii="Arial" w:eastAsia="標楷體" w:hAnsi="標楷體" w:hint="eastAsia"/>
              </w:rPr>
              <w:t>由於本類案件僅屬書、圖型式要件之審查，區域計畫擬定機關（或接受本部委辦審議之直轄市、縣〔市〕政府）受理申請案件後，由業務單位程序審查需先補書圖文件者，給予申請人</w:t>
            </w:r>
            <w:r w:rsidR="00852BC6">
              <w:rPr>
                <w:rFonts w:ascii="Arial" w:eastAsia="標楷體" w:hAnsi="標楷體" w:hint="eastAsia"/>
              </w:rPr>
              <w:t>1</w:t>
            </w:r>
            <w:r w:rsidR="003346C5" w:rsidRPr="00852BC6">
              <w:rPr>
                <w:rFonts w:ascii="Arial" w:eastAsia="標楷體" w:hAnsi="標楷體" w:hint="eastAsia"/>
              </w:rPr>
              <w:t>個月之補正期限；必要時，得簽請執行秘書或其指定人員擔任召集人召開行政程序審查專案小組會議後，依研商結論函請申請人補正書圖文件者，再給予</w:t>
            </w:r>
            <w:r w:rsidR="00852BC6">
              <w:rPr>
                <w:rFonts w:ascii="Arial" w:eastAsia="標楷體" w:hAnsi="標楷體" w:hint="eastAsia"/>
              </w:rPr>
              <w:t>1</w:t>
            </w:r>
            <w:r w:rsidR="003346C5" w:rsidRPr="00852BC6">
              <w:rPr>
                <w:rFonts w:ascii="Arial" w:eastAsia="標楷體" w:hAnsi="標楷體" w:hint="eastAsia"/>
              </w:rPr>
              <w:t>個月之補正期限。</w:t>
            </w:r>
            <w:r w:rsidR="00777300" w:rsidRPr="00852BC6">
              <w:rPr>
                <w:rFonts w:ascii="Arial" w:eastAsia="標楷體" w:hAnsi="Arial" w:hint="eastAsia"/>
              </w:rPr>
              <w:t xml:space="preserve"> </w:t>
            </w:r>
          </w:p>
        </w:tc>
      </w:tr>
      <w:tr w:rsidR="00777300" w:rsidRPr="008A4255" w:rsidTr="003C302E">
        <w:trPr>
          <w:cantSplit/>
        </w:trPr>
        <w:tc>
          <w:tcPr>
            <w:tcW w:w="1843" w:type="dxa"/>
            <w:vMerge/>
          </w:tcPr>
          <w:p w:rsidR="00777300" w:rsidRPr="008A4255" w:rsidRDefault="00777300">
            <w:pPr>
              <w:jc w:val="both"/>
              <w:rPr>
                <w:rFonts w:ascii="Arial" w:eastAsia="標楷體" w:hAnsi="Arial"/>
              </w:rPr>
            </w:pPr>
          </w:p>
        </w:tc>
        <w:tc>
          <w:tcPr>
            <w:tcW w:w="8829" w:type="dxa"/>
            <w:gridSpan w:val="3"/>
          </w:tcPr>
          <w:p w:rsidR="00852BC6" w:rsidRPr="00852BC6" w:rsidRDefault="00A23944" w:rsidP="005E0D43">
            <w:pPr>
              <w:spacing w:line="320" w:lineRule="exact"/>
              <w:ind w:left="1640" w:hanging="1640"/>
              <w:jc w:val="both"/>
              <w:rPr>
                <w:rFonts w:ascii="Arial" w:eastAsia="標楷體" w:hAnsi="標楷體"/>
              </w:rPr>
            </w:pPr>
            <w:r w:rsidRPr="00852BC6">
              <w:rPr>
                <w:rFonts w:ascii="Arial" w:eastAsia="標楷體" w:hAnsi="Arial" w:hint="eastAsia"/>
              </w:rPr>
              <w:t>□</w:t>
            </w:r>
            <w:r w:rsidR="00777300" w:rsidRPr="00852BC6">
              <w:rPr>
                <w:rFonts w:ascii="Arial" w:eastAsia="標楷體" w:hAnsi="標楷體" w:hint="eastAsia"/>
              </w:rPr>
              <w:t>第二類案件：</w:t>
            </w:r>
            <w:r w:rsidR="003346C5" w:rsidRPr="00852BC6">
              <w:rPr>
                <w:rFonts w:ascii="Arial" w:eastAsia="標楷體" w:hAnsi="標楷體" w:hint="eastAsia"/>
              </w:rPr>
              <w:t>開發案件經提區域計畫委員會專案小組審議過後，需依小組委員意見補充資料者，由</w:t>
            </w:r>
            <w:bookmarkStart w:id="0" w:name="_GoBack"/>
            <w:bookmarkEnd w:id="0"/>
            <w:r w:rsidR="003346C5" w:rsidRPr="00852BC6">
              <w:rPr>
                <w:rFonts w:ascii="Arial" w:eastAsia="標楷體" w:hAnsi="標楷體" w:hint="eastAsia"/>
              </w:rPr>
              <w:t>於本類案件需補充實際調查資料，抑或因併行審查環境影響評估或水土保持規劃書未能終結之故，給予</w:t>
            </w:r>
            <w:r w:rsidR="00852BC6">
              <w:rPr>
                <w:rFonts w:ascii="Arial" w:eastAsia="標楷體" w:hAnsi="標楷體" w:hint="eastAsia"/>
              </w:rPr>
              <w:t>6</w:t>
            </w:r>
            <w:r w:rsidR="003346C5" w:rsidRPr="00852BC6">
              <w:rPr>
                <w:rFonts w:ascii="Arial" w:eastAsia="標楷體" w:hAnsi="標楷體" w:hint="eastAsia"/>
              </w:rPr>
              <w:t>個月之補正期限。</w:t>
            </w:r>
            <w:r w:rsidR="00852BC6" w:rsidRPr="00852BC6">
              <w:rPr>
                <w:rFonts w:ascii="Arial" w:eastAsia="標楷體" w:hAnsi="標楷體"/>
              </w:rPr>
              <w:t>自中華民國</w:t>
            </w:r>
            <w:r w:rsidR="00852BC6">
              <w:rPr>
                <w:rFonts w:ascii="Arial" w:eastAsia="標楷體" w:hAnsi="標楷體" w:hint="eastAsia"/>
              </w:rPr>
              <w:t>113</w:t>
            </w:r>
            <w:r w:rsidR="00852BC6">
              <w:rPr>
                <w:rFonts w:ascii="Arial" w:eastAsia="標楷體" w:hAnsi="標楷體"/>
              </w:rPr>
              <w:t>年</w:t>
            </w:r>
            <w:r w:rsidR="00852BC6">
              <w:rPr>
                <w:rFonts w:ascii="Arial" w:eastAsia="標楷體" w:hAnsi="標楷體" w:hint="eastAsia"/>
              </w:rPr>
              <w:t>5</w:t>
            </w:r>
            <w:r w:rsidR="00852BC6">
              <w:rPr>
                <w:rFonts w:ascii="Arial" w:eastAsia="標楷體" w:hAnsi="標楷體"/>
              </w:rPr>
              <w:t>月</w:t>
            </w:r>
            <w:r w:rsidR="00852BC6">
              <w:rPr>
                <w:rFonts w:ascii="Arial" w:eastAsia="標楷體" w:hAnsi="標楷體" w:hint="eastAsia"/>
              </w:rPr>
              <w:t>1</w:t>
            </w:r>
            <w:r w:rsidR="00852BC6" w:rsidRPr="00852BC6">
              <w:rPr>
                <w:rFonts w:ascii="Arial" w:eastAsia="標楷體" w:hAnsi="標楷體"/>
              </w:rPr>
              <w:t>日起，本類案件給予</w:t>
            </w:r>
            <w:r w:rsidR="00852BC6">
              <w:rPr>
                <w:rFonts w:ascii="Arial" w:eastAsia="標楷體" w:hAnsi="標楷體" w:hint="eastAsia"/>
              </w:rPr>
              <w:t>2</w:t>
            </w:r>
            <w:r w:rsidR="00852BC6" w:rsidRPr="00852BC6">
              <w:rPr>
                <w:rFonts w:ascii="Arial" w:eastAsia="標楷體" w:hAnsi="標楷體"/>
              </w:rPr>
              <w:t>個月之補正期限。</w:t>
            </w:r>
          </w:p>
        </w:tc>
      </w:tr>
      <w:tr w:rsidR="00777300" w:rsidRPr="008A4255" w:rsidTr="005E0D43">
        <w:trPr>
          <w:cantSplit/>
          <w:trHeight w:val="987"/>
        </w:trPr>
        <w:tc>
          <w:tcPr>
            <w:tcW w:w="1843" w:type="dxa"/>
            <w:vMerge/>
          </w:tcPr>
          <w:p w:rsidR="00777300" w:rsidRPr="008A4255" w:rsidRDefault="00777300">
            <w:pPr>
              <w:jc w:val="both"/>
              <w:rPr>
                <w:rFonts w:ascii="Arial" w:eastAsia="標楷體" w:hAnsi="Arial"/>
              </w:rPr>
            </w:pPr>
          </w:p>
        </w:tc>
        <w:tc>
          <w:tcPr>
            <w:tcW w:w="8829" w:type="dxa"/>
            <w:gridSpan w:val="3"/>
          </w:tcPr>
          <w:p w:rsidR="00852BC6" w:rsidRPr="003346C5" w:rsidRDefault="00B915E7" w:rsidP="005E0D43">
            <w:pPr>
              <w:spacing w:line="320" w:lineRule="exact"/>
              <w:ind w:left="1640" w:hanging="1640"/>
              <w:jc w:val="both"/>
              <w:rPr>
                <w:rFonts w:ascii="Arial" w:eastAsia="標楷體" w:hAnsi="標楷體"/>
              </w:rPr>
            </w:pPr>
            <w:r w:rsidRPr="008A4255">
              <w:rPr>
                <w:rFonts w:ascii="Arial" w:eastAsia="標楷體" w:hAnsi="Arial" w:hint="eastAsia"/>
              </w:rPr>
              <w:t>□</w:t>
            </w:r>
            <w:r w:rsidR="00777300" w:rsidRPr="008A4255">
              <w:rPr>
                <w:rFonts w:ascii="Arial" w:eastAsia="標楷體" w:hAnsi="標楷體" w:hint="eastAsia"/>
              </w:rPr>
              <w:t>第三類案件：</w:t>
            </w:r>
            <w:r w:rsidR="003346C5" w:rsidRPr="003346C5">
              <w:rPr>
                <w:rFonts w:ascii="Arial" w:eastAsia="標楷體" w:hAnsi="標楷體" w:hint="eastAsia"/>
              </w:rPr>
              <w:t>經提區域計畫委員會（或直轄市、縣〔市〕政府成立之專責審議小組）審查後，需依決議修正計畫書圖者，給予</w:t>
            </w:r>
            <w:r w:rsidR="00852BC6">
              <w:rPr>
                <w:rFonts w:ascii="Arial" w:eastAsia="標楷體" w:hAnsi="標楷體" w:hint="eastAsia"/>
              </w:rPr>
              <w:t>3</w:t>
            </w:r>
            <w:r w:rsidR="003346C5" w:rsidRPr="003346C5">
              <w:rPr>
                <w:rFonts w:ascii="Arial" w:eastAsia="標楷體" w:hAnsi="標楷體" w:hint="eastAsia"/>
              </w:rPr>
              <w:t>個月之期限。</w:t>
            </w:r>
            <w:r w:rsidR="00852BC6" w:rsidRPr="00852BC6">
              <w:rPr>
                <w:rFonts w:ascii="Arial" w:eastAsia="標楷體" w:hAnsi="標楷體"/>
              </w:rPr>
              <w:t>自中華民國</w:t>
            </w:r>
            <w:r w:rsidR="00852BC6">
              <w:rPr>
                <w:rFonts w:ascii="Arial" w:eastAsia="標楷體" w:hAnsi="標楷體" w:hint="eastAsia"/>
              </w:rPr>
              <w:t>113</w:t>
            </w:r>
            <w:r w:rsidR="00852BC6">
              <w:rPr>
                <w:rFonts w:ascii="Arial" w:eastAsia="標楷體" w:hAnsi="標楷體"/>
              </w:rPr>
              <w:t>年</w:t>
            </w:r>
            <w:r w:rsidR="00852BC6">
              <w:rPr>
                <w:rFonts w:ascii="Arial" w:eastAsia="標楷體" w:hAnsi="標楷體" w:hint="eastAsia"/>
              </w:rPr>
              <w:t>5</w:t>
            </w:r>
            <w:r w:rsidR="00852BC6">
              <w:rPr>
                <w:rFonts w:ascii="Arial" w:eastAsia="標楷體" w:hAnsi="標楷體"/>
              </w:rPr>
              <w:t>月</w:t>
            </w:r>
            <w:r w:rsidR="00852BC6">
              <w:rPr>
                <w:rFonts w:ascii="Arial" w:eastAsia="標楷體" w:hAnsi="標楷體" w:hint="eastAsia"/>
              </w:rPr>
              <w:t>1</w:t>
            </w:r>
            <w:r w:rsidR="00852BC6" w:rsidRPr="00852BC6">
              <w:rPr>
                <w:rFonts w:ascii="Arial" w:eastAsia="標楷體" w:hAnsi="標楷體"/>
              </w:rPr>
              <w:t>日起，本類案件給予</w:t>
            </w:r>
            <w:r w:rsidR="00852BC6">
              <w:rPr>
                <w:rFonts w:ascii="Arial" w:eastAsia="標楷體" w:hAnsi="標楷體" w:hint="eastAsia"/>
              </w:rPr>
              <w:t>1</w:t>
            </w:r>
            <w:r w:rsidR="00852BC6" w:rsidRPr="00852BC6">
              <w:rPr>
                <w:rFonts w:ascii="Arial" w:eastAsia="標楷體" w:hAnsi="標楷體"/>
              </w:rPr>
              <w:t>個月之補正期限。</w:t>
            </w:r>
          </w:p>
        </w:tc>
      </w:tr>
      <w:tr w:rsidR="00777300" w:rsidRPr="008A4255" w:rsidTr="003C302E">
        <w:trPr>
          <w:cantSplit/>
        </w:trPr>
        <w:tc>
          <w:tcPr>
            <w:tcW w:w="1843" w:type="dxa"/>
            <w:vMerge/>
          </w:tcPr>
          <w:p w:rsidR="00777300" w:rsidRPr="008A4255" w:rsidRDefault="00777300">
            <w:pPr>
              <w:jc w:val="both"/>
              <w:rPr>
                <w:rFonts w:ascii="Arial" w:eastAsia="標楷體" w:hAnsi="Arial"/>
              </w:rPr>
            </w:pPr>
          </w:p>
        </w:tc>
        <w:tc>
          <w:tcPr>
            <w:tcW w:w="8829" w:type="dxa"/>
            <w:gridSpan w:val="3"/>
          </w:tcPr>
          <w:p w:rsidR="00852BC6" w:rsidRPr="003346C5" w:rsidRDefault="00852BC6" w:rsidP="005E0D43">
            <w:pPr>
              <w:spacing w:line="320" w:lineRule="exact"/>
              <w:ind w:left="240" w:hangingChars="100" w:hanging="240"/>
              <w:jc w:val="both"/>
              <w:rPr>
                <w:rFonts w:ascii="Arial" w:eastAsia="標楷體" w:hAnsi="標楷體"/>
              </w:rPr>
            </w:pPr>
            <w:r w:rsidRPr="008A4255">
              <w:rPr>
                <w:rFonts w:ascii="Arial" w:eastAsia="標楷體" w:hAnsi="Arial" w:hint="eastAsia"/>
              </w:rPr>
              <w:t>□</w:t>
            </w:r>
            <w:r w:rsidRPr="00852BC6">
              <w:rPr>
                <w:rFonts w:ascii="Arial" w:eastAsia="標楷體" w:hAnsi="標楷體"/>
              </w:rPr>
              <w:t>前揭三類案件之補正期限，如有特殊不可抗力或不可歸責於申請人之原因，並檢附相關證明文件經申請核准者，得依案件類別給予展延補正期限，其中第一類及第三類案件展延補正以</w:t>
            </w:r>
            <w:r>
              <w:rPr>
                <w:rFonts w:ascii="Arial" w:eastAsia="標楷體" w:hAnsi="標楷體" w:hint="eastAsia"/>
              </w:rPr>
              <w:t>1</w:t>
            </w:r>
            <w:r w:rsidRPr="00852BC6">
              <w:rPr>
                <w:rFonts w:ascii="Arial" w:eastAsia="標楷體" w:hAnsi="標楷體"/>
              </w:rPr>
              <w:t>次為限，第二類案件展延補正以</w:t>
            </w:r>
            <w:r>
              <w:rPr>
                <w:rFonts w:ascii="Arial" w:eastAsia="標楷體" w:hAnsi="標楷體" w:hint="eastAsia"/>
              </w:rPr>
              <w:t>2</w:t>
            </w:r>
            <w:r w:rsidRPr="00852BC6">
              <w:rPr>
                <w:rFonts w:ascii="Arial" w:eastAsia="標楷體" w:hAnsi="標楷體"/>
              </w:rPr>
              <w:t>次為限。但自中華民國</w:t>
            </w:r>
            <w:r>
              <w:rPr>
                <w:rFonts w:ascii="Arial" w:eastAsia="標楷體" w:hAnsi="標楷體" w:hint="eastAsia"/>
              </w:rPr>
              <w:t>113</w:t>
            </w:r>
            <w:r>
              <w:rPr>
                <w:rFonts w:ascii="Arial" w:eastAsia="標楷體" w:hAnsi="標楷體"/>
              </w:rPr>
              <w:t>年</w:t>
            </w:r>
            <w:r>
              <w:rPr>
                <w:rFonts w:ascii="Arial" w:eastAsia="標楷體" w:hAnsi="標楷體" w:hint="eastAsia"/>
              </w:rPr>
              <w:t>5</w:t>
            </w:r>
            <w:r>
              <w:rPr>
                <w:rFonts w:ascii="Arial" w:eastAsia="標楷體" w:hAnsi="標楷體"/>
              </w:rPr>
              <w:t>月</w:t>
            </w:r>
            <w:r>
              <w:rPr>
                <w:rFonts w:ascii="Arial" w:eastAsia="標楷體" w:hAnsi="標楷體" w:hint="eastAsia"/>
              </w:rPr>
              <w:t>1</w:t>
            </w:r>
            <w:r w:rsidRPr="00852BC6">
              <w:rPr>
                <w:rFonts w:ascii="Arial" w:eastAsia="標楷體" w:hAnsi="標楷體"/>
              </w:rPr>
              <w:t>日起，前揭三類案件均不得展延補正期限。</w:t>
            </w:r>
          </w:p>
        </w:tc>
      </w:tr>
      <w:tr w:rsidR="00777300" w:rsidRPr="008A4255" w:rsidTr="003C302E">
        <w:trPr>
          <w:trHeight w:val="708"/>
        </w:trPr>
        <w:tc>
          <w:tcPr>
            <w:tcW w:w="1843" w:type="dxa"/>
            <w:vAlign w:val="center"/>
          </w:tcPr>
          <w:p w:rsidR="00777300" w:rsidRPr="008A4255" w:rsidRDefault="00777300">
            <w:pPr>
              <w:jc w:val="both"/>
              <w:rPr>
                <w:rFonts w:ascii="Arial" w:eastAsia="標楷體" w:hAnsi="Arial"/>
              </w:rPr>
            </w:pPr>
            <w:r w:rsidRPr="008A4255">
              <w:rPr>
                <w:rFonts w:ascii="Arial" w:eastAsia="標楷體" w:hAnsi="標楷體" w:hint="eastAsia"/>
              </w:rPr>
              <w:t>補正內容或其他</w:t>
            </w:r>
          </w:p>
          <w:p w:rsidR="00777300" w:rsidRPr="008A4255" w:rsidRDefault="00777300">
            <w:pPr>
              <w:jc w:val="both"/>
              <w:rPr>
                <w:rFonts w:ascii="Arial" w:eastAsia="標楷體" w:hAnsi="Arial"/>
              </w:rPr>
            </w:pPr>
            <w:r w:rsidRPr="008A4255">
              <w:rPr>
                <w:rFonts w:ascii="Arial" w:eastAsia="標楷體" w:hAnsi="標楷體" w:hint="eastAsia"/>
              </w:rPr>
              <w:t>注意事項</w:t>
            </w:r>
          </w:p>
        </w:tc>
        <w:tc>
          <w:tcPr>
            <w:tcW w:w="8829" w:type="dxa"/>
            <w:gridSpan w:val="3"/>
            <w:vAlign w:val="center"/>
          </w:tcPr>
          <w:p w:rsidR="00777300" w:rsidRPr="003C302E" w:rsidRDefault="00777300" w:rsidP="003C302E">
            <w:pPr>
              <w:jc w:val="both"/>
              <w:rPr>
                <w:rFonts w:ascii="Arial" w:eastAsia="標楷體" w:hAnsi="標楷體"/>
              </w:rPr>
            </w:pPr>
            <w:r w:rsidRPr="008A4255">
              <w:rPr>
                <w:rFonts w:ascii="Arial" w:eastAsia="標楷體" w:hAnsi="標楷體" w:hint="eastAsia"/>
              </w:rPr>
              <w:t>請依</w:t>
            </w:r>
            <w:r w:rsidR="00C622D3">
              <w:rPr>
                <w:rFonts w:ascii="Arial" w:eastAsia="標楷體" w:hAnsi="標楷體" w:hint="eastAsia"/>
              </w:rPr>
              <w:t>內政部</w:t>
            </w:r>
            <w:r w:rsidR="00B915E7" w:rsidRPr="003C302E">
              <w:rPr>
                <w:rFonts w:ascii="Arial" w:eastAsia="標楷體" w:hAnsi="標楷體" w:hint="eastAsia"/>
              </w:rPr>
              <w:t>○</w:t>
            </w:r>
            <w:r w:rsidR="00FB7327" w:rsidRPr="008A4255">
              <w:rPr>
                <w:rFonts w:ascii="Arial" w:eastAsia="標楷體" w:hAnsi="標楷體" w:hint="eastAsia"/>
              </w:rPr>
              <w:t>年</w:t>
            </w:r>
            <w:r w:rsidR="00B915E7">
              <w:rPr>
                <w:rFonts w:ascii="Arial" w:eastAsia="標楷體" w:hAnsi="標楷體" w:hint="eastAsia"/>
              </w:rPr>
              <w:t>○</w:t>
            </w:r>
            <w:r w:rsidR="00FB7327" w:rsidRPr="008A4255">
              <w:rPr>
                <w:rFonts w:ascii="Arial" w:eastAsia="標楷體" w:hAnsi="標楷體" w:hint="eastAsia"/>
              </w:rPr>
              <w:t>月</w:t>
            </w:r>
            <w:r w:rsidR="00B915E7">
              <w:rPr>
                <w:rFonts w:ascii="Arial" w:eastAsia="標楷體" w:hAnsi="標楷體" w:hint="eastAsia"/>
              </w:rPr>
              <w:t>○</w:t>
            </w:r>
            <w:r w:rsidR="00FB7327" w:rsidRPr="008A4255">
              <w:rPr>
                <w:rFonts w:ascii="Arial" w:eastAsia="標楷體" w:hAnsi="標楷體" w:hint="eastAsia"/>
              </w:rPr>
              <w:t>日</w:t>
            </w:r>
            <w:r w:rsidR="00A23944">
              <w:rPr>
                <w:rFonts w:ascii="Arial" w:eastAsia="標楷體" w:hAnsi="標楷體" w:hint="eastAsia"/>
              </w:rPr>
              <w:t>台內營</w:t>
            </w:r>
            <w:r w:rsidR="008A4255" w:rsidRPr="008A4255">
              <w:rPr>
                <w:rFonts w:ascii="Arial" w:eastAsia="標楷體" w:hAnsi="標楷體" w:hint="eastAsia"/>
              </w:rPr>
              <w:t>字第</w:t>
            </w:r>
            <w:r w:rsidR="00B915E7">
              <w:rPr>
                <w:rFonts w:ascii="Arial" w:eastAsia="標楷體" w:hAnsi="標楷體" w:hint="eastAsia"/>
              </w:rPr>
              <w:t>○○○</w:t>
            </w:r>
            <w:r w:rsidR="008A4255" w:rsidRPr="008A4255">
              <w:rPr>
                <w:rFonts w:ascii="Arial" w:eastAsia="標楷體" w:hAnsi="標楷體" w:hint="eastAsia"/>
              </w:rPr>
              <w:t>號</w:t>
            </w:r>
            <w:r w:rsidR="00D42C1A">
              <w:rPr>
                <w:rFonts w:ascii="Arial" w:eastAsia="標楷體" w:hAnsi="標楷體" w:hint="eastAsia"/>
              </w:rPr>
              <w:t>函</w:t>
            </w:r>
            <w:r w:rsidR="00A23944">
              <w:rPr>
                <w:rFonts w:ascii="Arial" w:eastAsia="標楷體" w:hAnsi="標楷體" w:hint="eastAsia"/>
              </w:rPr>
              <w:t>送本部區域計畫委員會第</w:t>
            </w:r>
            <w:r w:rsidR="00B915E7">
              <w:rPr>
                <w:rFonts w:ascii="Arial" w:eastAsia="標楷體" w:hAnsi="標楷體" w:hint="eastAsia"/>
              </w:rPr>
              <w:t>○</w:t>
            </w:r>
            <w:r w:rsidR="00A23944">
              <w:rPr>
                <w:rFonts w:ascii="Arial" w:eastAsia="標楷體" w:hAnsi="標楷體" w:hint="eastAsia"/>
              </w:rPr>
              <w:t>次審查會議紀錄</w:t>
            </w:r>
            <w:r w:rsidR="00C92AD5" w:rsidRPr="008A4255">
              <w:rPr>
                <w:rFonts w:ascii="Arial" w:eastAsia="標楷體" w:hAnsi="標楷體" w:hint="eastAsia"/>
              </w:rPr>
              <w:t>辦理補正</w:t>
            </w:r>
            <w:r w:rsidR="00FD2540" w:rsidRPr="008A4255">
              <w:rPr>
                <w:rFonts w:ascii="Arial" w:eastAsia="標楷體" w:hAnsi="標楷體" w:hint="eastAsia"/>
              </w:rPr>
              <w:t>。</w:t>
            </w:r>
          </w:p>
        </w:tc>
      </w:tr>
      <w:tr w:rsidR="00777300" w:rsidRPr="008A4255" w:rsidTr="003C302E">
        <w:trPr>
          <w:trHeight w:val="420"/>
        </w:trPr>
        <w:tc>
          <w:tcPr>
            <w:tcW w:w="1843" w:type="dxa"/>
            <w:vAlign w:val="center"/>
          </w:tcPr>
          <w:p w:rsidR="00777300" w:rsidRPr="008A4255" w:rsidRDefault="00777300">
            <w:pPr>
              <w:jc w:val="both"/>
              <w:rPr>
                <w:rFonts w:ascii="Arial" w:eastAsia="標楷體" w:hAnsi="Arial"/>
              </w:rPr>
            </w:pPr>
            <w:r w:rsidRPr="008A4255">
              <w:rPr>
                <w:rFonts w:ascii="Arial" w:eastAsia="標楷體" w:hAnsi="標楷體" w:hint="eastAsia"/>
              </w:rPr>
              <w:t>補正期限</w:t>
            </w:r>
          </w:p>
        </w:tc>
        <w:tc>
          <w:tcPr>
            <w:tcW w:w="8829" w:type="dxa"/>
            <w:gridSpan w:val="3"/>
            <w:vAlign w:val="center"/>
          </w:tcPr>
          <w:p w:rsidR="00777300" w:rsidRPr="003C302E" w:rsidRDefault="0056747F" w:rsidP="003C302E">
            <w:pPr>
              <w:jc w:val="both"/>
              <w:rPr>
                <w:rFonts w:ascii="Arial" w:eastAsia="標楷體" w:hAnsi="標楷體"/>
              </w:rPr>
            </w:pPr>
            <w:r>
              <w:rPr>
                <w:rFonts w:ascii="Arial" w:eastAsia="標楷體" w:hAnsi="標楷體" w:hint="eastAsia"/>
              </w:rPr>
              <w:t>請於</w:t>
            </w:r>
            <w:r w:rsidR="008E09DD">
              <w:rPr>
                <w:rFonts w:ascii="Arial" w:eastAsia="標楷體" w:hAnsi="標楷體" w:hint="eastAsia"/>
              </w:rPr>
              <w:t>文到</w:t>
            </w:r>
            <w:r w:rsidR="00B915E7">
              <w:rPr>
                <w:rFonts w:ascii="Arial" w:eastAsia="標楷體" w:hAnsi="標楷體" w:hint="eastAsia"/>
              </w:rPr>
              <w:t>○</w:t>
            </w:r>
            <w:r w:rsidR="008E09DD">
              <w:rPr>
                <w:rFonts w:ascii="Arial" w:eastAsia="標楷體" w:hAnsi="標楷體" w:hint="eastAsia"/>
              </w:rPr>
              <w:t>個月內</w:t>
            </w:r>
            <w:r w:rsidR="00777300" w:rsidRPr="008A4255">
              <w:rPr>
                <w:rFonts w:ascii="Arial" w:eastAsia="標楷體" w:hAnsi="標楷體" w:hint="eastAsia"/>
              </w:rPr>
              <w:t>補正完成。</w:t>
            </w:r>
          </w:p>
        </w:tc>
      </w:tr>
      <w:tr w:rsidR="00777300" w:rsidRPr="008A4255" w:rsidTr="003C302E">
        <w:tc>
          <w:tcPr>
            <w:tcW w:w="1843" w:type="dxa"/>
            <w:vAlign w:val="center"/>
          </w:tcPr>
          <w:p w:rsidR="00777300" w:rsidRPr="008A4255" w:rsidRDefault="00777300">
            <w:pPr>
              <w:jc w:val="both"/>
              <w:rPr>
                <w:rFonts w:ascii="Arial" w:eastAsia="標楷體" w:hAnsi="Arial"/>
              </w:rPr>
            </w:pPr>
            <w:r w:rsidRPr="008A4255">
              <w:rPr>
                <w:rFonts w:ascii="Arial" w:eastAsia="標楷體" w:hAnsi="標楷體" w:hint="eastAsia"/>
              </w:rPr>
              <w:t>案件受理單位</w:t>
            </w:r>
          </w:p>
        </w:tc>
        <w:tc>
          <w:tcPr>
            <w:tcW w:w="8829" w:type="dxa"/>
            <w:gridSpan w:val="3"/>
            <w:vAlign w:val="center"/>
          </w:tcPr>
          <w:p w:rsidR="00777300" w:rsidRPr="008A4255" w:rsidRDefault="00777300" w:rsidP="003C302E">
            <w:pPr>
              <w:spacing w:line="400" w:lineRule="exact"/>
              <w:rPr>
                <w:rFonts w:ascii="Arial" w:eastAsia="標楷體" w:hAnsi="Arial"/>
              </w:rPr>
            </w:pPr>
          </w:p>
        </w:tc>
      </w:tr>
      <w:tr w:rsidR="00777300" w:rsidRPr="008A4255" w:rsidTr="003C302E">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法令依據</w:t>
            </w:r>
          </w:p>
        </w:tc>
        <w:tc>
          <w:tcPr>
            <w:tcW w:w="8829" w:type="dxa"/>
            <w:gridSpan w:val="3"/>
          </w:tcPr>
          <w:p w:rsidR="009A1444" w:rsidRPr="00852BC6" w:rsidRDefault="003C302E" w:rsidP="005E0D43">
            <w:pPr>
              <w:pStyle w:val="2"/>
              <w:spacing w:line="320" w:lineRule="exact"/>
              <w:jc w:val="both"/>
              <w:rPr>
                <w:rFonts w:ascii="Arial" w:eastAsia="標楷體" w:hAnsi="標楷體"/>
              </w:rPr>
            </w:pPr>
            <w:r>
              <w:rPr>
                <w:rFonts w:ascii="Arial" w:eastAsia="標楷體" w:hAnsi="標楷體" w:hint="eastAsia"/>
              </w:rPr>
              <w:t>一、</w:t>
            </w:r>
            <w:r w:rsidR="009A1444" w:rsidRPr="00852BC6">
              <w:rPr>
                <w:rFonts w:ascii="標楷體" w:eastAsia="標楷體" w:hAnsi="標楷體"/>
              </w:rPr>
              <w:t>依區域計畫法施行</w:t>
            </w:r>
            <w:r w:rsidR="009A1444" w:rsidRPr="00852BC6">
              <w:rPr>
                <w:rFonts w:ascii="Arial" w:eastAsia="標楷體" w:hAnsi="標楷體"/>
              </w:rPr>
              <w:t>細則第</w:t>
            </w:r>
            <w:r w:rsidR="009A1444" w:rsidRPr="00852BC6">
              <w:rPr>
                <w:rFonts w:ascii="Arial" w:eastAsia="標楷體" w:hAnsi="標楷體"/>
              </w:rPr>
              <w:t>16</w:t>
            </w:r>
            <w:r w:rsidR="009A1444" w:rsidRPr="00852BC6">
              <w:rPr>
                <w:rFonts w:ascii="Arial" w:eastAsia="標楷體" w:hAnsi="標楷體"/>
              </w:rPr>
              <w:t>條第</w:t>
            </w:r>
            <w:r w:rsidR="009A1444" w:rsidRPr="00852BC6">
              <w:rPr>
                <w:rFonts w:ascii="Arial" w:eastAsia="標楷體" w:hAnsi="標楷體"/>
              </w:rPr>
              <w:t>2</w:t>
            </w:r>
            <w:r w:rsidR="009A1444" w:rsidRPr="00852BC6">
              <w:rPr>
                <w:rFonts w:ascii="Arial" w:eastAsia="標楷體" w:hAnsi="標楷體"/>
              </w:rPr>
              <w:t>項規定：「</w:t>
            </w:r>
            <w:r w:rsidR="00C622D3" w:rsidRPr="00852BC6">
              <w:rPr>
                <w:rFonts w:ascii="Arial" w:eastAsia="標楷體" w:hAnsi="標楷體"/>
              </w:rPr>
              <w:t>主管</w:t>
            </w:r>
            <w:r w:rsidR="009A1444" w:rsidRPr="00852BC6">
              <w:rPr>
                <w:rFonts w:ascii="Arial" w:eastAsia="標楷體" w:hAnsi="標楷體"/>
              </w:rPr>
              <w:t>機關辦理許可審議時，如有須補正事項者，應</w:t>
            </w:r>
            <w:r w:rsidR="009A1444" w:rsidRPr="003C302E">
              <w:rPr>
                <w:rFonts w:ascii="標楷體" w:eastAsia="標楷體" w:hAnsi="標楷體"/>
              </w:rPr>
              <w:t>通知</w:t>
            </w:r>
            <w:r w:rsidR="009A1444" w:rsidRPr="00852BC6">
              <w:rPr>
                <w:rFonts w:ascii="Arial" w:eastAsia="標楷體" w:hAnsi="標楷體"/>
              </w:rPr>
              <w:t>申請人限期補正，屆期未補正者，應為駁回之處分。」</w:t>
            </w:r>
          </w:p>
          <w:p w:rsidR="00777300" w:rsidRPr="00852BC6" w:rsidRDefault="003C302E" w:rsidP="005E0D43">
            <w:pPr>
              <w:pStyle w:val="2"/>
              <w:spacing w:line="320" w:lineRule="exact"/>
              <w:jc w:val="both"/>
              <w:rPr>
                <w:rFonts w:ascii="標楷體" w:eastAsia="標楷體" w:hAnsi="標楷體"/>
              </w:rPr>
            </w:pPr>
            <w:r>
              <w:rPr>
                <w:rFonts w:ascii="Arial" w:eastAsia="標楷體" w:hAnsi="標楷體" w:hint="eastAsia"/>
              </w:rPr>
              <w:t>二、</w:t>
            </w:r>
            <w:r w:rsidR="009A1444" w:rsidRPr="00852BC6">
              <w:rPr>
                <w:rFonts w:ascii="Arial" w:eastAsia="標楷體" w:hAnsi="標楷體"/>
              </w:rPr>
              <w:t>本部</w:t>
            </w:r>
            <w:r w:rsidR="00852BC6" w:rsidRPr="00852BC6">
              <w:rPr>
                <w:rFonts w:ascii="Arial" w:eastAsia="標楷體" w:hAnsi="標楷體"/>
              </w:rPr>
              <w:t>111</w:t>
            </w:r>
            <w:r w:rsidR="003346C5" w:rsidRPr="00852BC6">
              <w:rPr>
                <w:rFonts w:ascii="Arial" w:eastAsia="標楷體" w:hAnsi="標楷體"/>
              </w:rPr>
              <w:t>年</w:t>
            </w:r>
            <w:r w:rsidR="00852BC6" w:rsidRPr="00852BC6">
              <w:rPr>
                <w:rFonts w:ascii="Arial" w:eastAsia="標楷體" w:hAnsi="標楷體"/>
              </w:rPr>
              <w:t>8</w:t>
            </w:r>
            <w:r w:rsidR="003346C5" w:rsidRPr="00852BC6">
              <w:rPr>
                <w:rFonts w:ascii="Arial" w:eastAsia="標楷體" w:hAnsi="標楷體"/>
              </w:rPr>
              <w:t>月</w:t>
            </w:r>
            <w:r w:rsidR="00852BC6" w:rsidRPr="00852BC6">
              <w:rPr>
                <w:rFonts w:ascii="Arial" w:eastAsia="標楷體" w:hAnsi="標楷體"/>
              </w:rPr>
              <w:t>4</w:t>
            </w:r>
            <w:r w:rsidR="003346C5" w:rsidRPr="00852BC6">
              <w:rPr>
                <w:rFonts w:ascii="Arial" w:eastAsia="標楷體" w:hAnsi="標楷體"/>
              </w:rPr>
              <w:t>日台內營字第</w:t>
            </w:r>
            <w:r w:rsidR="00852BC6" w:rsidRPr="00852BC6">
              <w:rPr>
                <w:rFonts w:ascii="Arial" w:eastAsia="標楷體" w:hAnsi="標楷體"/>
              </w:rPr>
              <w:t>1110813388</w:t>
            </w:r>
            <w:r w:rsidR="003346C5" w:rsidRPr="00852BC6">
              <w:rPr>
                <w:rFonts w:ascii="Arial" w:eastAsia="標楷體" w:hAnsi="標楷體"/>
              </w:rPr>
              <w:t>號令</w:t>
            </w:r>
            <w:r w:rsidR="009A1444" w:rsidRPr="00852BC6">
              <w:rPr>
                <w:rFonts w:ascii="標楷體" w:eastAsia="標楷體" w:hAnsi="標楷體"/>
              </w:rPr>
              <w:t>。</w:t>
            </w:r>
          </w:p>
        </w:tc>
      </w:tr>
      <w:tr w:rsidR="00777300" w:rsidRPr="008A4255" w:rsidTr="003C302E">
        <w:tc>
          <w:tcPr>
            <w:tcW w:w="1843" w:type="dxa"/>
          </w:tcPr>
          <w:p w:rsidR="00777300" w:rsidRPr="008A4255" w:rsidRDefault="00777300">
            <w:pPr>
              <w:jc w:val="both"/>
              <w:rPr>
                <w:rFonts w:ascii="Arial" w:eastAsia="標楷體" w:hAnsi="Arial"/>
              </w:rPr>
            </w:pPr>
            <w:r w:rsidRPr="008A4255">
              <w:rPr>
                <w:rFonts w:ascii="Arial" w:eastAsia="標楷體" w:hAnsi="標楷體" w:hint="eastAsia"/>
              </w:rPr>
              <w:t>備註</w:t>
            </w:r>
          </w:p>
        </w:tc>
        <w:tc>
          <w:tcPr>
            <w:tcW w:w="8829" w:type="dxa"/>
            <w:gridSpan w:val="3"/>
          </w:tcPr>
          <w:p w:rsidR="009A1444" w:rsidRPr="003C302E" w:rsidRDefault="009A1444" w:rsidP="005E0D43">
            <w:pPr>
              <w:pStyle w:val="2"/>
              <w:spacing w:line="320" w:lineRule="exact"/>
              <w:jc w:val="both"/>
              <w:rPr>
                <w:rFonts w:ascii="Arial" w:eastAsia="標楷體" w:hAnsi="標楷體"/>
              </w:rPr>
            </w:pPr>
            <w:r w:rsidRPr="00852BC6">
              <w:rPr>
                <w:rFonts w:ascii="標楷體" w:eastAsia="標楷體" w:hAnsi="標楷體" w:hint="eastAsia"/>
              </w:rPr>
              <w:t>一、</w:t>
            </w:r>
            <w:r w:rsidRPr="003C302E">
              <w:rPr>
                <w:rFonts w:ascii="Arial" w:eastAsia="標楷體" w:hAnsi="標楷體" w:hint="eastAsia"/>
              </w:rPr>
              <w:t>依行政程序法第</w:t>
            </w:r>
            <w:r w:rsidR="003C302E" w:rsidRPr="003C302E">
              <w:rPr>
                <w:rFonts w:ascii="Arial" w:eastAsia="標楷體" w:hAnsi="標楷體" w:hint="eastAsia"/>
              </w:rPr>
              <w:t>102</w:t>
            </w:r>
            <w:r w:rsidRPr="003C302E">
              <w:rPr>
                <w:rFonts w:ascii="Arial" w:eastAsia="標楷體" w:hAnsi="標楷體" w:hint="eastAsia"/>
              </w:rPr>
              <w:t>條規定，行政機關作成限制或剝奪人民自由或權利之行政處分前，除已依</w:t>
            </w:r>
            <w:r w:rsidRPr="003C302E">
              <w:rPr>
                <w:rFonts w:ascii="Arial" w:eastAsia="標楷體" w:hAnsi="標楷體"/>
              </w:rPr>
              <w:t>第</w:t>
            </w:r>
            <w:r w:rsidR="003C302E" w:rsidRPr="003C302E">
              <w:rPr>
                <w:rFonts w:ascii="Arial" w:eastAsia="標楷體" w:hAnsi="標楷體" w:hint="eastAsia"/>
              </w:rPr>
              <w:t>39</w:t>
            </w:r>
            <w:r w:rsidRPr="003C302E">
              <w:rPr>
                <w:rFonts w:ascii="Arial" w:eastAsia="標楷體" w:hAnsi="標楷體"/>
              </w:rPr>
              <w:t>條規定，通知處分相對人陳述意見，或決定舉行聽證者外，應給予該處分相對人陳述意見之機會。但法規另有規定者，從其規定。</w:t>
            </w:r>
          </w:p>
          <w:p w:rsidR="009A1444" w:rsidRPr="003C302E" w:rsidRDefault="009A1444" w:rsidP="005E0D43">
            <w:pPr>
              <w:pStyle w:val="2"/>
              <w:spacing w:line="320" w:lineRule="exact"/>
              <w:jc w:val="both"/>
              <w:rPr>
                <w:rFonts w:ascii="Arial" w:eastAsia="標楷體" w:hAnsi="標楷體"/>
              </w:rPr>
            </w:pPr>
            <w:r w:rsidRPr="003C302E">
              <w:rPr>
                <w:rFonts w:ascii="Arial" w:eastAsia="標楷體" w:hAnsi="標楷體"/>
              </w:rPr>
              <w:t>二、前項補正截止期限，以文到次日起算，屆期申請人未將補正之書圖文件，以正式公文送達案件受理單位者，即予「駁回」之處分。</w:t>
            </w:r>
          </w:p>
          <w:p w:rsidR="00777300" w:rsidRPr="00852BC6" w:rsidRDefault="009A1444" w:rsidP="005E0D43">
            <w:pPr>
              <w:pStyle w:val="2"/>
              <w:spacing w:line="320" w:lineRule="exact"/>
              <w:jc w:val="both"/>
              <w:rPr>
                <w:rFonts w:ascii="標楷體" w:eastAsia="標楷體" w:hAnsi="標楷體"/>
              </w:rPr>
            </w:pPr>
            <w:r w:rsidRPr="003C302E">
              <w:rPr>
                <w:rFonts w:ascii="Arial" w:eastAsia="標楷體" w:hAnsi="標楷體"/>
              </w:rPr>
              <w:t>三、</w:t>
            </w:r>
            <w:smartTag w:uri="urn:schemas-microsoft-com:office:smarttags" w:element="chmetcnv">
              <w:smartTagPr>
                <w:attr w:name="TCSC" w:val="0"/>
                <w:attr w:name="NumberType" w:val="1"/>
                <w:attr w:name="Negative" w:val="False"/>
                <w:attr w:name="HasSpace" w:val="False"/>
                <w:attr w:name="SourceValue" w:val="30"/>
                <w:attr w:name="UnitName" w:val="公頃"/>
              </w:smartTagPr>
              <w:r w:rsidR="00301C78" w:rsidRPr="003C302E">
                <w:rPr>
                  <w:rFonts w:ascii="Arial" w:eastAsia="標楷體" w:hAnsi="標楷體"/>
                </w:rPr>
                <w:t>30</w:t>
              </w:r>
              <w:r w:rsidRPr="003C302E">
                <w:rPr>
                  <w:rFonts w:ascii="Arial" w:eastAsia="標楷體" w:hAnsi="標楷體"/>
                </w:rPr>
                <w:t>公頃</w:t>
              </w:r>
            </w:smartTag>
            <w:r w:rsidR="00852BC6" w:rsidRPr="003C302E">
              <w:rPr>
                <w:rFonts w:ascii="Arial" w:eastAsia="標楷體" w:hAnsi="標楷體"/>
              </w:rPr>
              <w:t>以下之非都市土地變更申請案件委辦</w:t>
            </w:r>
            <w:r w:rsidRPr="003C302E">
              <w:rPr>
                <w:rFonts w:ascii="Arial" w:eastAsia="標楷體" w:hAnsi="標楷體"/>
              </w:rPr>
              <w:t>縣（市）政府辦理審議核定者，其補正期限亦比照本部規定辦理。</w:t>
            </w:r>
          </w:p>
        </w:tc>
      </w:tr>
    </w:tbl>
    <w:p w:rsidR="00777300" w:rsidRPr="008A4255" w:rsidRDefault="00777300">
      <w:pPr>
        <w:rPr>
          <w:rFonts w:ascii="Arial" w:hAnsi="Arial"/>
        </w:rPr>
      </w:pPr>
    </w:p>
    <w:sectPr w:rsidR="00777300" w:rsidRPr="008A4255" w:rsidSect="003C302E">
      <w:pgSz w:w="11906" w:h="16838" w:code="9"/>
      <w:pgMar w:top="993" w:right="567" w:bottom="14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46" w:rsidRDefault="00391646" w:rsidP="00852BC6">
      <w:r>
        <w:separator/>
      </w:r>
    </w:p>
  </w:endnote>
  <w:endnote w:type="continuationSeparator" w:id="0">
    <w:p w:rsidR="00391646" w:rsidRDefault="00391646" w:rsidP="008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46" w:rsidRDefault="00391646" w:rsidP="00852BC6">
      <w:r>
        <w:separator/>
      </w:r>
    </w:p>
  </w:footnote>
  <w:footnote w:type="continuationSeparator" w:id="0">
    <w:p w:rsidR="00391646" w:rsidRDefault="00391646" w:rsidP="0085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054B"/>
    <w:multiLevelType w:val="hybridMultilevel"/>
    <w:tmpl w:val="FAE84AD8"/>
    <w:lvl w:ilvl="0" w:tplc="D888873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325282"/>
    <w:multiLevelType w:val="hybridMultilevel"/>
    <w:tmpl w:val="E93E9FDE"/>
    <w:lvl w:ilvl="0" w:tplc="3C5294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3B083A"/>
    <w:multiLevelType w:val="hybridMultilevel"/>
    <w:tmpl w:val="E2545578"/>
    <w:lvl w:ilvl="0" w:tplc="BDE2F79C">
      <w:numFmt w:val="bullet"/>
      <w:lvlText w:val="□"/>
      <w:lvlJc w:val="left"/>
      <w:pPr>
        <w:tabs>
          <w:tab w:val="num" w:pos="1492"/>
        </w:tabs>
        <w:ind w:left="1492" w:hanging="360"/>
      </w:pPr>
      <w:rPr>
        <w:rFonts w:ascii="標楷體" w:eastAsia="標楷體" w:hAnsi="標楷體" w:cs="Times New Roman" w:hint="eastAsia"/>
      </w:rPr>
    </w:lvl>
    <w:lvl w:ilvl="1" w:tplc="04090003" w:tentative="1">
      <w:start w:val="1"/>
      <w:numFmt w:val="bullet"/>
      <w:lvlText w:val=""/>
      <w:lvlJc w:val="left"/>
      <w:pPr>
        <w:tabs>
          <w:tab w:val="num" w:pos="2092"/>
        </w:tabs>
        <w:ind w:left="2092" w:hanging="480"/>
      </w:pPr>
      <w:rPr>
        <w:rFonts w:ascii="Wingdings" w:hAnsi="Wingdings" w:hint="default"/>
      </w:rPr>
    </w:lvl>
    <w:lvl w:ilvl="2" w:tplc="04090005" w:tentative="1">
      <w:start w:val="1"/>
      <w:numFmt w:val="bullet"/>
      <w:lvlText w:val=""/>
      <w:lvlJc w:val="left"/>
      <w:pPr>
        <w:tabs>
          <w:tab w:val="num" w:pos="2572"/>
        </w:tabs>
        <w:ind w:left="2572" w:hanging="480"/>
      </w:pPr>
      <w:rPr>
        <w:rFonts w:ascii="Wingdings" w:hAnsi="Wingdings" w:hint="default"/>
      </w:rPr>
    </w:lvl>
    <w:lvl w:ilvl="3" w:tplc="04090001" w:tentative="1">
      <w:start w:val="1"/>
      <w:numFmt w:val="bullet"/>
      <w:lvlText w:val=""/>
      <w:lvlJc w:val="left"/>
      <w:pPr>
        <w:tabs>
          <w:tab w:val="num" w:pos="3052"/>
        </w:tabs>
        <w:ind w:left="3052" w:hanging="480"/>
      </w:pPr>
      <w:rPr>
        <w:rFonts w:ascii="Wingdings" w:hAnsi="Wingdings" w:hint="default"/>
      </w:rPr>
    </w:lvl>
    <w:lvl w:ilvl="4" w:tplc="04090003" w:tentative="1">
      <w:start w:val="1"/>
      <w:numFmt w:val="bullet"/>
      <w:lvlText w:val=""/>
      <w:lvlJc w:val="left"/>
      <w:pPr>
        <w:tabs>
          <w:tab w:val="num" w:pos="3532"/>
        </w:tabs>
        <w:ind w:left="3532" w:hanging="480"/>
      </w:pPr>
      <w:rPr>
        <w:rFonts w:ascii="Wingdings" w:hAnsi="Wingdings" w:hint="default"/>
      </w:rPr>
    </w:lvl>
    <w:lvl w:ilvl="5" w:tplc="04090005" w:tentative="1">
      <w:start w:val="1"/>
      <w:numFmt w:val="bullet"/>
      <w:lvlText w:val=""/>
      <w:lvlJc w:val="left"/>
      <w:pPr>
        <w:tabs>
          <w:tab w:val="num" w:pos="4012"/>
        </w:tabs>
        <w:ind w:left="4012" w:hanging="480"/>
      </w:pPr>
      <w:rPr>
        <w:rFonts w:ascii="Wingdings" w:hAnsi="Wingdings" w:hint="default"/>
      </w:rPr>
    </w:lvl>
    <w:lvl w:ilvl="6" w:tplc="04090001" w:tentative="1">
      <w:start w:val="1"/>
      <w:numFmt w:val="bullet"/>
      <w:lvlText w:val=""/>
      <w:lvlJc w:val="left"/>
      <w:pPr>
        <w:tabs>
          <w:tab w:val="num" w:pos="4492"/>
        </w:tabs>
        <w:ind w:left="4492" w:hanging="480"/>
      </w:pPr>
      <w:rPr>
        <w:rFonts w:ascii="Wingdings" w:hAnsi="Wingdings" w:hint="default"/>
      </w:rPr>
    </w:lvl>
    <w:lvl w:ilvl="7" w:tplc="04090003" w:tentative="1">
      <w:start w:val="1"/>
      <w:numFmt w:val="bullet"/>
      <w:lvlText w:val=""/>
      <w:lvlJc w:val="left"/>
      <w:pPr>
        <w:tabs>
          <w:tab w:val="num" w:pos="4972"/>
        </w:tabs>
        <w:ind w:left="4972" w:hanging="480"/>
      </w:pPr>
      <w:rPr>
        <w:rFonts w:ascii="Wingdings" w:hAnsi="Wingdings" w:hint="default"/>
      </w:rPr>
    </w:lvl>
    <w:lvl w:ilvl="8" w:tplc="04090005" w:tentative="1">
      <w:start w:val="1"/>
      <w:numFmt w:val="bullet"/>
      <w:lvlText w:val=""/>
      <w:lvlJc w:val="left"/>
      <w:pPr>
        <w:tabs>
          <w:tab w:val="num" w:pos="5452"/>
        </w:tabs>
        <w:ind w:left="5452" w:hanging="480"/>
      </w:pPr>
      <w:rPr>
        <w:rFonts w:ascii="Wingdings" w:hAnsi="Wingdings" w:hint="default"/>
      </w:rPr>
    </w:lvl>
  </w:abstractNum>
  <w:abstractNum w:abstractNumId="3" w15:restartNumberingAfterBreak="0">
    <w:nsid w:val="653746A3"/>
    <w:multiLevelType w:val="hybridMultilevel"/>
    <w:tmpl w:val="0C1832EC"/>
    <w:lvl w:ilvl="0" w:tplc="CD6AF666">
      <w:numFmt w:val="bullet"/>
      <w:lvlText w:val="□"/>
      <w:lvlJc w:val="left"/>
      <w:pPr>
        <w:tabs>
          <w:tab w:val="num" w:pos="360"/>
        </w:tabs>
        <w:ind w:left="360" w:hanging="360"/>
      </w:pPr>
      <w:rPr>
        <w:rFonts w:ascii="新細明體" w:eastAsia="新細明體" w:hAnsi="Times New Roman" w:cs="Times New Roman" w:hint="eastAsia"/>
      </w:rPr>
    </w:lvl>
    <w:lvl w:ilvl="1" w:tplc="34586D6E" w:tentative="1">
      <w:start w:val="1"/>
      <w:numFmt w:val="bullet"/>
      <w:lvlText w:val=""/>
      <w:lvlJc w:val="left"/>
      <w:pPr>
        <w:tabs>
          <w:tab w:val="num" w:pos="960"/>
        </w:tabs>
        <w:ind w:left="960" w:hanging="480"/>
      </w:pPr>
      <w:rPr>
        <w:rFonts w:ascii="Wingdings" w:hAnsi="Wingdings" w:hint="default"/>
      </w:rPr>
    </w:lvl>
    <w:lvl w:ilvl="2" w:tplc="81867704" w:tentative="1">
      <w:start w:val="1"/>
      <w:numFmt w:val="bullet"/>
      <w:lvlText w:val=""/>
      <w:lvlJc w:val="left"/>
      <w:pPr>
        <w:tabs>
          <w:tab w:val="num" w:pos="1440"/>
        </w:tabs>
        <w:ind w:left="1440" w:hanging="480"/>
      </w:pPr>
      <w:rPr>
        <w:rFonts w:ascii="Wingdings" w:hAnsi="Wingdings" w:hint="default"/>
      </w:rPr>
    </w:lvl>
    <w:lvl w:ilvl="3" w:tplc="5A7E1822" w:tentative="1">
      <w:start w:val="1"/>
      <w:numFmt w:val="bullet"/>
      <w:lvlText w:val=""/>
      <w:lvlJc w:val="left"/>
      <w:pPr>
        <w:tabs>
          <w:tab w:val="num" w:pos="1920"/>
        </w:tabs>
        <w:ind w:left="1920" w:hanging="480"/>
      </w:pPr>
      <w:rPr>
        <w:rFonts w:ascii="Wingdings" w:hAnsi="Wingdings" w:hint="default"/>
      </w:rPr>
    </w:lvl>
    <w:lvl w:ilvl="4" w:tplc="20CA5320" w:tentative="1">
      <w:start w:val="1"/>
      <w:numFmt w:val="bullet"/>
      <w:lvlText w:val=""/>
      <w:lvlJc w:val="left"/>
      <w:pPr>
        <w:tabs>
          <w:tab w:val="num" w:pos="2400"/>
        </w:tabs>
        <w:ind w:left="2400" w:hanging="480"/>
      </w:pPr>
      <w:rPr>
        <w:rFonts w:ascii="Wingdings" w:hAnsi="Wingdings" w:hint="default"/>
      </w:rPr>
    </w:lvl>
    <w:lvl w:ilvl="5" w:tplc="5B0C4690" w:tentative="1">
      <w:start w:val="1"/>
      <w:numFmt w:val="bullet"/>
      <w:lvlText w:val=""/>
      <w:lvlJc w:val="left"/>
      <w:pPr>
        <w:tabs>
          <w:tab w:val="num" w:pos="2880"/>
        </w:tabs>
        <w:ind w:left="2880" w:hanging="480"/>
      </w:pPr>
      <w:rPr>
        <w:rFonts w:ascii="Wingdings" w:hAnsi="Wingdings" w:hint="default"/>
      </w:rPr>
    </w:lvl>
    <w:lvl w:ilvl="6" w:tplc="6AD88110" w:tentative="1">
      <w:start w:val="1"/>
      <w:numFmt w:val="bullet"/>
      <w:lvlText w:val=""/>
      <w:lvlJc w:val="left"/>
      <w:pPr>
        <w:tabs>
          <w:tab w:val="num" w:pos="3360"/>
        </w:tabs>
        <w:ind w:left="3360" w:hanging="480"/>
      </w:pPr>
      <w:rPr>
        <w:rFonts w:ascii="Wingdings" w:hAnsi="Wingdings" w:hint="default"/>
      </w:rPr>
    </w:lvl>
    <w:lvl w:ilvl="7" w:tplc="C8E20A96" w:tentative="1">
      <w:start w:val="1"/>
      <w:numFmt w:val="bullet"/>
      <w:lvlText w:val=""/>
      <w:lvlJc w:val="left"/>
      <w:pPr>
        <w:tabs>
          <w:tab w:val="num" w:pos="3840"/>
        </w:tabs>
        <w:ind w:left="3840" w:hanging="480"/>
      </w:pPr>
      <w:rPr>
        <w:rFonts w:ascii="Wingdings" w:hAnsi="Wingdings" w:hint="default"/>
      </w:rPr>
    </w:lvl>
    <w:lvl w:ilvl="8" w:tplc="7414A222"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96C09A1"/>
    <w:multiLevelType w:val="hybridMultilevel"/>
    <w:tmpl w:val="00C27456"/>
    <w:lvl w:ilvl="0" w:tplc="8A426CF2">
      <w:start w:val="1"/>
      <w:numFmt w:val="taiwaneseCountingThousand"/>
      <w:lvlText w:val="%1、"/>
      <w:lvlJc w:val="left"/>
      <w:pPr>
        <w:tabs>
          <w:tab w:val="num" w:pos="360"/>
        </w:tabs>
        <w:ind w:left="360" w:hanging="360"/>
      </w:pPr>
      <w:rPr>
        <w:rFonts w:hint="eastAsia"/>
      </w:rPr>
    </w:lvl>
    <w:lvl w:ilvl="1" w:tplc="1360B2C2" w:tentative="1">
      <w:start w:val="1"/>
      <w:numFmt w:val="ideographTraditional"/>
      <w:lvlText w:val="%2、"/>
      <w:lvlJc w:val="left"/>
      <w:pPr>
        <w:tabs>
          <w:tab w:val="num" w:pos="960"/>
        </w:tabs>
        <w:ind w:left="960" w:hanging="480"/>
      </w:pPr>
    </w:lvl>
    <w:lvl w:ilvl="2" w:tplc="2864DB9E" w:tentative="1">
      <w:start w:val="1"/>
      <w:numFmt w:val="lowerRoman"/>
      <w:lvlText w:val="%3."/>
      <w:lvlJc w:val="right"/>
      <w:pPr>
        <w:tabs>
          <w:tab w:val="num" w:pos="1440"/>
        </w:tabs>
        <w:ind w:left="1440" w:hanging="480"/>
      </w:pPr>
    </w:lvl>
    <w:lvl w:ilvl="3" w:tplc="FF4EE2FA" w:tentative="1">
      <w:start w:val="1"/>
      <w:numFmt w:val="decimal"/>
      <w:lvlText w:val="%4."/>
      <w:lvlJc w:val="left"/>
      <w:pPr>
        <w:tabs>
          <w:tab w:val="num" w:pos="1920"/>
        </w:tabs>
        <w:ind w:left="1920" w:hanging="480"/>
      </w:pPr>
    </w:lvl>
    <w:lvl w:ilvl="4" w:tplc="2F403756" w:tentative="1">
      <w:start w:val="1"/>
      <w:numFmt w:val="ideographTraditional"/>
      <w:lvlText w:val="%5、"/>
      <w:lvlJc w:val="left"/>
      <w:pPr>
        <w:tabs>
          <w:tab w:val="num" w:pos="2400"/>
        </w:tabs>
        <w:ind w:left="2400" w:hanging="480"/>
      </w:pPr>
    </w:lvl>
    <w:lvl w:ilvl="5" w:tplc="4B30D830" w:tentative="1">
      <w:start w:val="1"/>
      <w:numFmt w:val="lowerRoman"/>
      <w:lvlText w:val="%6."/>
      <w:lvlJc w:val="right"/>
      <w:pPr>
        <w:tabs>
          <w:tab w:val="num" w:pos="2880"/>
        </w:tabs>
        <w:ind w:left="2880" w:hanging="480"/>
      </w:pPr>
    </w:lvl>
    <w:lvl w:ilvl="6" w:tplc="3684F890" w:tentative="1">
      <w:start w:val="1"/>
      <w:numFmt w:val="decimal"/>
      <w:lvlText w:val="%7."/>
      <w:lvlJc w:val="left"/>
      <w:pPr>
        <w:tabs>
          <w:tab w:val="num" w:pos="3360"/>
        </w:tabs>
        <w:ind w:left="3360" w:hanging="480"/>
      </w:pPr>
    </w:lvl>
    <w:lvl w:ilvl="7" w:tplc="743EE3AA" w:tentative="1">
      <w:start w:val="1"/>
      <w:numFmt w:val="ideographTraditional"/>
      <w:lvlText w:val="%8、"/>
      <w:lvlJc w:val="left"/>
      <w:pPr>
        <w:tabs>
          <w:tab w:val="num" w:pos="3840"/>
        </w:tabs>
        <w:ind w:left="3840" w:hanging="480"/>
      </w:pPr>
    </w:lvl>
    <w:lvl w:ilvl="8" w:tplc="91A00F78"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71"/>
    <w:rsid w:val="00023617"/>
    <w:rsid w:val="000804F9"/>
    <w:rsid w:val="000D4FD6"/>
    <w:rsid w:val="00113642"/>
    <w:rsid w:val="00141E2D"/>
    <w:rsid w:val="00157D12"/>
    <w:rsid w:val="001823F4"/>
    <w:rsid w:val="00185170"/>
    <w:rsid w:val="00206A2A"/>
    <w:rsid w:val="002810FA"/>
    <w:rsid w:val="00301C78"/>
    <w:rsid w:val="003346C5"/>
    <w:rsid w:val="00391646"/>
    <w:rsid w:val="003C302E"/>
    <w:rsid w:val="003F6049"/>
    <w:rsid w:val="00450B93"/>
    <w:rsid w:val="00480A71"/>
    <w:rsid w:val="005208F2"/>
    <w:rsid w:val="00544591"/>
    <w:rsid w:val="0056747F"/>
    <w:rsid w:val="005C054D"/>
    <w:rsid w:val="005C2895"/>
    <w:rsid w:val="005E0D43"/>
    <w:rsid w:val="005F3481"/>
    <w:rsid w:val="00614DB3"/>
    <w:rsid w:val="00635C24"/>
    <w:rsid w:val="00777300"/>
    <w:rsid w:val="007E079F"/>
    <w:rsid w:val="007E1FC6"/>
    <w:rsid w:val="007E4079"/>
    <w:rsid w:val="00852BC6"/>
    <w:rsid w:val="00857CD2"/>
    <w:rsid w:val="00895508"/>
    <w:rsid w:val="008A4255"/>
    <w:rsid w:val="008B5AF7"/>
    <w:rsid w:val="008E09DD"/>
    <w:rsid w:val="00907E0C"/>
    <w:rsid w:val="00925BB9"/>
    <w:rsid w:val="0098328F"/>
    <w:rsid w:val="009847BB"/>
    <w:rsid w:val="009A1444"/>
    <w:rsid w:val="00A120AA"/>
    <w:rsid w:val="00A23944"/>
    <w:rsid w:val="00B72FD7"/>
    <w:rsid w:val="00B915E7"/>
    <w:rsid w:val="00BC6976"/>
    <w:rsid w:val="00C13DE8"/>
    <w:rsid w:val="00C60BD8"/>
    <w:rsid w:val="00C622D3"/>
    <w:rsid w:val="00C81CF5"/>
    <w:rsid w:val="00C92AD5"/>
    <w:rsid w:val="00CB3655"/>
    <w:rsid w:val="00CF09F9"/>
    <w:rsid w:val="00D42C1A"/>
    <w:rsid w:val="00DB5BDC"/>
    <w:rsid w:val="00F44342"/>
    <w:rsid w:val="00FB7327"/>
    <w:rsid w:val="00FD2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3D09944-6E0B-4F06-BB76-ABBB598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71" w:hangingChars="738" w:hanging="1771"/>
    </w:pPr>
  </w:style>
  <w:style w:type="paragraph" w:styleId="2">
    <w:name w:val="Body Text Indent 2"/>
    <w:basedOn w:val="a"/>
    <w:pPr>
      <w:ind w:left="511" w:hangingChars="213" w:hanging="511"/>
    </w:pPr>
  </w:style>
  <w:style w:type="paragraph" w:styleId="a4">
    <w:name w:val="header"/>
    <w:basedOn w:val="a"/>
    <w:link w:val="a5"/>
    <w:rsid w:val="00852BC6"/>
    <w:pPr>
      <w:tabs>
        <w:tab w:val="center" w:pos="4153"/>
        <w:tab w:val="right" w:pos="8306"/>
      </w:tabs>
      <w:snapToGrid w:val="0"/>
    </w:pPr>
    <w:rPr>
      <w:sz w:val="20"/>
      <w:szCs w:val="20"/>
    </w:rPr>
  </w:style>
  <w:style w:type="character" w:customStyle="1" w:styleId="a5">
    <w:name w:val="頁首 字元"/>
    <w:link w:val="a4"/>
    <w:rsid w:val="00852BC6"/>
    <w:rPr>
      <w:kern w:val="2"/>
    </w:rPr>
  </w:style>
  <w:style w:type="paragraph" w:styleId="a6">
    <w:name w:val="footer"/>
    <w:basedOn w:val="a"/>
    <w:link w:val="a7"/>
    <w:rsid w:val="00852BC6"/>
    <w:pPr>
      <w:tabs>
        <w:tab w:val="center" w:pos="4153"/>
        <w:tab w:val="right" w:pos="8306"/>
      </w:tabs>
      <w:snapToGrid w:val="0"/>
    </w:pPr>
    <w:rPr>
      <w:sz w:val="20"/>
      <w:szCs w:val="20"/>
    </w:rPr>
  </w:style>
  <w:style w:type="character" w:customStyle="1" w:styleId="a7">
    <w:name w:val="頁尾 字元"/>
    <w:link w:val="a6"/>
    <w:rsid w:val="00852BC6"/>
    <w:rPr>
      <w:kern w:val="2"/>
    </w:rPr>
  </w:style>
  <w:style w:type="paragraph" w:styleId="a8">
    <w:name w:val="Balloon Text"/>
    <w:basedOn w:val="a"/>
    <w:link w:val="a9"/>
    <w:rsid w:val="00857CD2"/>
    <w:rPr>
      <w:rFonts w:asciiTheme="majorHAnsi" w:eastAsiaTheme="majorEastAsia" w:hAnsiTheme="majorHAnsi" w:cstheme="majorBidi"/>
      <w:sz w:val="18"/>
      <w:szCs w:val="18"/>
    </w:rPr>
  </w:style>
  <w:style w:type="character" w:customStyle="1" w:styleId="a9">
    <w:name w:val="註解方塊文字 字元"/>
    <w:basedOn w:val="a0"/>
    <w:link w:val="a8"/>
    <w:rsid w:val="00857C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Office Word</Application>
  <DocSecurity>0</DocSecurity>
  <Lines>7</Lines>
  <Paragraphs>2</Paragraphs>
  <ScaleCrop>false</ScaleCrop>
  <Company>cpami</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非都市土地變更申請案件限期補正通知書</dc:title>
  <dc:subject/>
  <dc:creator>comp</dc:creator>
  <cp:keywords/>
  <cp:lastModifiedBy>林妍均</cp:lastModifiedBy>
  <cp:revision>4</cp:revision>
  <cp:lastPrinted>2022-08-09T09:37:00Z</cp:lastPrinted>
  <dcterms:created xsi:type="dcterms:W3CDTF">2022-08-09T09:35:00Z</dcterms:created>
  <dcterms:modified xsi:type="dcterms:W3CDTF">2022-08-09T09:38:00Z</dcterms:modified>
</cp:coreProperties>
</file>