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709" w:rsidRDefault="002479C3">
      <w:pPr>
        <w:pStyle w:val="-1"/>
        <w:spacing w:after="0" w:line="440" w:lineRule="exact"/>
        <w:jc w:val="center"/>
      </w:pPr>
      <w:bookmarkStart w:id="0" w:name="_GoBack"/>
      <w:bookmarkEnd w:id="0"/>
      <w:r>
        <w:rPr>
          <w:rFonts w:ascii="標楷體" w:hAnsi="標楷體" w:cs="標楷體"/>
          <w:b/>
          <w:bCs/>
        </w:rPr>
        <w:t>國土復育促進地區劃定及復育計畫擬訂辦法</w:t>
      </w:r>
    </w:p>
    <w:p w:rsidR="00D13709" w:rsidRDefault="00D13709">
      <w:pPr>
        <w:pStyle w:val="-1"/>
        <w:spacing w:after="0" w:line="500" w:lineRule="exact"/>
        <w:ind w:left="360"/>
        <w:jc w:val="center"/>
        <w:rPr>
          <w:rFonts w:ascii="標楷體" w:hAnsi="標楷體" w:cs="Times New Roman"/>
          <w:b/>
          <w:bCs/>
        </w:rPr>
      </w:pPr>
    </w:p>
    <w:p w:rsidR="00D13709" w:rsidRDefault="002479C3">
      <w:pPr>
        <w:spacing w:line="460" w:lineRule="exact"/>
        <w:ind w:left="851" w:hanging="851"/>
        <w:jc w:val="both"/>
        <w:rPr>
          <w:rFonts w:ascii="標楷體" w:eastAsia="標楷體" w:hAnsi="標楷體" w:cs="標楷體"/>
          <w:sz w:val="28"/>
          <w:szCs w:val="28"/>
        </w:rPr>
      </w:pPr>
      <w:r>
        <w:rPr>
          <w:rFonts w:ascii="標楷體" w:eastAsia="標楷體" w:hAnsi="標楷體" w:cs="標楷體"/>
          <w:sz w:val="28"/>
          <w:szCs w:val="28"/>
        </w:rPr>
        <w:t>第一條　　本辦法依國土計畫法（以下簡稱本法）第三十五條第二項及第三十六條第二項規定訂定之。</w:t>
      </w:r>
    </w:p>
    <w:p w:rsidR="00D13709" w:rsidRDefault="002479C3">
      <w:pPr>
        <w:spacing w:line="460" w:lineRule="exact"/>
        <w:ind w:left="851" w:hanging="851"/>
        <w:jc w:val="both"/>
        <w:rPr>
          <w:rFonts w:ascii="標楷體" w:eastAsia="標楷體" w:hAnsi="標楷體" w:cs="標楷體"/>
          <w:sz w:val="28"/>
          <w:szCs w:val="28"/>
        </w:rPr>
      </w:pPr>
      <w:r>
        <w:rPr>
          <w:rFonts w:ascii="標楷體" w:eastAsia="標楷體" w:hAnsi="標楷體" w:cs="標楷體"/>
          <w:sz w:val="28"/>
          <w:szCs w:val="28"/>
        </w:rPr>
        <w:t>第二條　　目的事業主管機關就本法第三十五條第一項各款地區，應依全國國土計畫評估必要性、迫切性及可行性後，劃定為國土復育促進地區。</w:t>
      </w:r>
    </w:p>
    <w:p w:rsidR="00D13709" w:rsidRDefault="002479C3">
      <w:pPr>
        <w:spacing w:line="460" w:lineRule="exact"/>
        <w:ind w:left="851" w:firstLine="567"/>
        <w:jc w:val="both"/>
        <w:rPr>
          <w:rFonts w:ascii="標楷體" w:eastAsia="標楷體" w:hAnsi="標楷體" w:cs="標楷體"/>
          <w:sz w:val="28"/>
          <w:szCs w:val="28"/>
        </w:rPr>
      </w:pPr>
      <w:r>
        <w:rPr>
          <w:rFonts w:ascii="標楷體" w:eastAsia="標楷體" w:hAnsi="標楷體" w:cs="標楷體"/>
          <w:sz w:val="28"/>
          <w:szCs w:val="28"/>
        </w:rPr>
        <w:t>前項必要性、迫切性及可行性評估項目如下：</w:t>
      </w:r>
    </w:p>
    <w:p w:rsidR="00D13709" w:rsidRDefault="002479C3">
      <w:pPr>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一、必要性評估項目：</w:t>
      </w:r>
    </w:p>
    <w:p w:rsidR="00D13709" w:rsidRDefault="002479C3">
      <w:pPr>
        <w:spacing w:line="460" w:lineRule="exact"/>
        <w:ind w:left="2268" w:hanging="588"/>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rPr>
          <w:rFonts w:ascii="標楷體" w:eastAsia="標楷體" w:hAnsi="標楷體" w:cs="標楷體"/>
          <w:sz w:val="28"/>
          <w:szCs w:val="28"/>
        </w:rPr>
        <w:t>是否對人口集居地區或重大公共設施有潛在性威脅。</w:t>
      </w:r>
    </w:p>
    <w:p w:rsidR="00D13709" w:rsidRDefault="002479C3">
      <w:pPr>
        <w:spacing w:line="460" w:lineRule="exact"/>
        <w:ind w:left="2268" w:hanging="588"/>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是否屬於重要物種之棲息地。</w:t>
      </w:r>
    </w:p>
    <w:p w:rsidR="00D13709" w:rsidRDefault="002479C3">
      <w:pPr>
        <w:spacing w:line="460" w:lineRule="exact"/>
        <w:ind w:left="2268" w:hanging="588"/>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rPr>
          <w:rFonts w:ascii="標楷體" w:eastAsia="標楷體" w:hAnsi="標楷體" w:cs="標楷體"/>
          <w:sz w:val="28"/>
          <w:szCs w:val="28"/>
        </w:rPr>
        <w:t>是否屬於具有重要生態功能或價值之地區。</w:t>
      </w:r>
    </w:p>
    <w:p w:rsidR="00D13709" w:rsidRDefault="002479C3">
      <w:pPr>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二、迫切性評估項目：</w:t>
      </w:r>
    </w:p>
    <w:p w:rsidR="00D13709" w:rsidRDefault="002479C3">
      <w:pPr>
        <w:spacing w:line="460" w:lineRule="exact"/>
        <w:ind w:left="2268" w:hanging="588"/>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rPr>
          <w:rFonts w:ascii="標楷體" w:eastAsia="標楷體" w:hAnsi="標楷體" w:cs="標楷體"/>
          <w:sz w:val="28"/>
          <w:szCs w:val="28"/>
        </w:rPr>
        <w:t>安全性評估：災害受損現況、風險潛勢等級、保全對象安全性評估、災害發生歷史、災害潛勢。</w:t>
      </w:r>
    </w:p>
    <w:p w:rsidR="00D13709" w:rsidRDefault="002479C3">
      <w:pPr>
        <w:spacing w:line="460" w:lineRule="exact"/>
        <w:ind w:left="2268" w:hanging="588"/>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生態環境劣化評估：棲地破壞或劣化現況、生物多樣性減少情形。</w:t>
      </w:r>
    </w:p>
    <w:p w:rsidR="00D13709" w:rsidRDefault="002479C3">
      <w:pPr>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三、可行性評估項目：</w:t>
      </w:r>
    </w:p>
    <w:p w:rsidR="00D13709" w:rsidRDefault="002479C3">
      <w:pPr>
        <w:spacing w:line="460" w:lineRule="exact"/>
        <w:ind w:left="2268" w:hanging="588"/>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rPr>
          <w:rFonts w:ascii="標楷體" w:eastAsia="標楷體" w:hAnsi="標楷體" w:cs="標楷體"/>
          <w:sz w:val="28"/>
          <w:szCs w:val="28"/>
        </w:rPr>
        <w:t>復育技術可行性。</w:t>
      </w:r>
    </w:p>
    <w:p w:rsidR="00D13709" w:rsidRDefault="002479C3">
      <w:pPr>
        <w:spacing w:line="460" w:lineRule="exact"/>
        <w:ind w:left="2268" w:hanging="588"/>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成本效益可行性。</w:t>
      </w:r>
    </w:p>
    <w:p w:rsidR="00D13709" w:rsidRDefault="002479C3">
      <w:pPr>
        <w:spacing w:line="460" w:lineRule="exact"/>
        <w:ind w:left="2268" w:hanging="588"/>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rPr>
          <w:rFonts w:ascii="標楷體" w:eastAsia="標楷體" w:hAnsi="標楷體" w:cs="標楷體"/>
          <w:sz w:val="28"/>
          <w:szCs w:val="28"/>
        </w:rPr>
        <w:t>調查資料完整性及土地權屬或土地權利關係人意願。</w:t>
      </w:r>
    </w:p>
    <w:p w:rsidR="00D13709" w:rsidRDefault="002479C3">
      <w:pPr>
        <w:spacing w:line="460" w:lineRule="exact"/>
        <w:ind w:left="851" w:hanging="851"/>
        <w:jc w:val="both"/>
        <w:rPr>
          <w:rFonts w:ascii="標楷體" w:eastAsia="標楷體" w:hAnsi="標楷體" w:cs="標楷體"/>
          <w:sz w:val="28"/>
          <w:szCs w:val="28"/>
        </w:rPr>
      </w:pPr>
      <w:r>
        <w:rPr>
          <w:rFonts w:ascii="標楷體" w:eastAsia="標楷體" w:hAnsi="標楷體" w:cs="標楷體"/>
          <w:sz w:val="28"/>
          <w:szCs w:val="28"/>
        </w:rPr>
        <w:t>第三條　　劃定機關為劃定國土復育促進地區，應擬具國土復育促進地區劃定計畫（以下簡稱劃定計畫），載明下列事項：</w:t>
      </w:r>
    </w:p>
    <w:p w:rsidR="00D13709" w:rsidRDefault="002479C3">
      <w:pPr>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一、劃定依據及目的。</w:t>
      </w:r>
    </w:p>
    <w:p w:rsidR="00D13709" w:rsidRDefault="002479C3">
      <w:pPr>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二、劃定範圍：以比例尺不小於五千分之一之地形圖或相片基本圖繪製。</w:t>
      </w:r>
    </w:p>
    <w:p w:rsidR="00D13709" w:rsidRDefault="002479C3">
      <w:pPr>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三、環境現況基本資料。</w:t>
      </w:r>
    </w:p>
    <w:p w:rsidR="00D13709" w:rsidRDefault="002479C3">
      <w:pPr>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四、劃定機關。</w:t>
      </w:r>
    </w:p>
    <w:p w:rsidR="00D13709" w:rsidRDefault="002479C3">
      <w:pPr>
        <w:spacing w:line="460" w:lineRule="exact"/>
        <w:ind w:left="851" w:hanging="851"/>
        <w:jc w:val="both"/>
        <w:rPr>
          <w:rFonts w:ascii="標楷體" w:eastAsia="標楷體" w:hAnsi="標楷體" w:cs="標楷體"/>
          <w:sz w:val="28"/>
          <w:szCs w:val="28"/>
        </w:rPr>
      </w:pPr>
      <w:r>
        <w:rPr>
          <w:rFonts w:ascii="標楷體" w:eastAsia="標楷體" w:hAnsi="標楷體" w:cs="標楷體"/>
          <w:sz w:val="28"/>
          <w:szCs w:val="28"/>
        </w:rPr>
        <w:t>第四條　　機關</w:t>
      </w:r>
      <w:r>
        <w:rPr>
          <w:rFonts w:ascii="標楷體" w:eastAsia="標楷體" w:hAnsi="標楷體" w:cs="標楷體"/>
          <w:sz w:val="28"/>
          <w:szCs w:val="28"/>
        </w:rPr>
        <w:t>(</w:t>
      </w:r>
      <w:r>
        <w:rPr>
          <w:rFonts w:ascii="標楷體" w:eastAsia="標楷體" w:hAnsi="標楷體" w:cs="標楷體"/>
          <w:sz w:val="28"/>
          <w:szCs w:val="28"/>
        </w:rPr>
        <w:t>構</w:t>
      </w:r>
      <w:r>
        <w:rPr>
          <w:rFonts w:ascii="標楷體" w:eastAsia="標楷體" w:hAnsi="標楷體" w:cs="標楷體"/>
          <w:sz w:val="28"/>
          <w:szCs w:val="28"/>
        </w:rPr>
        <w:t>)</w:t>
      </w:r>
      <w:r>
        <w:rPr>
          <w:rFonts w:ascii="標楷體" w:eastAsia="標楷體" w:hAnsi="標楷體" w:cs="標楷體"/>
          <w:sz w:val="28"/>
          <w:szCs w:val="28"/>
        </w:rPr>
        <w:t>、人民或團體得以書面載明下列事項，向中央主管機關提出劃定國土復育促進地區之建議：</w:t>
      </w:r>
    </w:p>
    <w:p w:rsidR="00D13709" w:rsidRDefault="002479C3">
      <w:pPr>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一、提案人姓名或名稱及聯絡方式。</w:t>
      </w:r>
    </w:p>
    <w:p w:rsidR="00D13709" w:rsidRDefault="002479C3">
      <w:pPr>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lastRenderedPageBreak/>
        <w:t>二、案名。</w:t>
      </w:r>
    </w:p>
    <w:p w:rsidR="00D13709" w:rsidRDefault="002479C3">
      <w:pPr>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三、劃定範圍。</w:t>
      </w:r>
    </w:p>
    <w:p w:rsidR="00D13709" w:rsidRDefault="002479C3">
      <w:pPr>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四、環境基本現況說明。</w:t>
      </w:r>
    </w:p>
    <w:p w:rsidR="00D13709" w:rsidRDefault="002479C3">
      <w:pPr>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五、劃定理由。</w:t>
      </w:r>
    </w:p>
    <w:p w:rsidR="00D13709" w:rsidRDefault="002479C3">
      <w:pPr>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六、劃定機關。</w:t>
      </w:r>
    </w:p>
    <w:p w:rsidR="00D13709" w:rsidRDefault="002479C3">
      <w:pPr>
        <w:spacing w:line="460" w:lineRule="exact"/>
        <w:ind w:left="851" w:firstLine="567"/>
        <w:jc w:val="both"/>
        <w:rPr>
          <w:rFonts w:ascii="標楷體" w:eastAsia="標楷體" w:hAnsi="標楷體" w:cs="標楷體"/>
          <w:sz w:val="28"/>
          <w:szCs w:val="28"/>
        </w:rPr>
      </w:pPr>
      <w:r>
        <w:rPr>
          <w:rFonts w:ascii="標楷體" w:eastAsia="標楷體" w:hAnsi="標楷體" w:cs="標楷體"/>
          <w:sz w:val="28"/>
          <w:szCs w:val="28"/>
        </w:rPr>
        <w:t>直轄市、縣</w:t>
      </w:r>
      <w:r>
        <w:rPr>
          <w:rFonts w:ascii="標楷體" w:eastAsia="標楷體" w:hAnsi="標楷體" w:cs="標楷體"/>
          <w:sz w:val="28"/>
          <w:szCs w:val="28"/>
        </w:rPr>
        <w:t>(</w:t>
      </w:r>
      <w:r>
        <w:rPr>
          <w:rFonts w:ascii="標楷體" w:eastAsia="標楷體" w:hAnsi="標楷體" w:cs="標楷體"/>
          <w:sz w:val="28"/>
          <w:szCs w:val="28"/>
        </w:rPr>
        <w:t>市</w:t>
      </w:r>
      <w:r>
        <w:rPr>
          <w:rFonts w:ascii="標楷體" w:eastAsia="標楷體" w:hAnsi="標楷體" w:cs="標楷體"/>
          <w:sz w:val="28"/>
          <w:szCs w:val="28"/>
        </w:rPr>
        <w:t>)</w:t>
      </w:r>
      <w:r>
        <w:rPr>
          <w:rFonts w:ascii="標楷體" w:eastAsia="標楷體" w:hAnsi="標楷體" w:cs="標楷體"/>
          <w:sz w:val="28"/>
          <w:szCs w:val="28"/>
        </w:rPr>
        <w:t>國土計畫公告實施後，直轄市、縣</w:t>
      </w:r>
      <w:r>
        <w:rPr>
          <w:rFonts w:ascii="標楷體" w:eastAsia="標楷體" w:hAnsi="標楷體" w:cs="標楷體"/>
          <w:sz w:val="28"/>
          <w:szCs w:val="28"/>
        </w:rPr>
        <w:t>(</w:t>
      </w:r>
      <w:r>
        <w:rPr>
          <w:rFonts w:ascii="標楷體" w:eastAsia="標楷體" w:hAnsi="標楷體" w:cs="標楷體"/>
          <w:sz w:val="28"/>
          <w:szCs w:val="28"/>
        </w:rPr>
        <w:t>市</w:t>
      </w:r>
      <w:r>
        <w:rPr>
          <w:rFonts w:ascii="標楷體" w:eastAsia="標楷體" w:hAnsi="標楷體" w:cs="標楷體"/>
          <w:sz w:val="28"/>
          <w:szCs w:val="28"/>
        </w:rPr>
        <w:t>)</w:t>
      </w:r>
      <w:r>
        <w:rPr>
          <w:rFonts w:ascii="標楷體" w:eastAsia="標楷體" w:hAnsi="標楷體" w:cs="標楷體"/>
          <w:sz w:val="28"/>
          <w:szCs w:val="28"/>
        </w:rPr>
        <w:t>政</w:t>
      </w:r>
      <w:r>
        <w:rPr>
          <w:rFonts w:ascii="標楷體" w:eastAsia="標楷體" w:hAnsi="標楷體" w:cs="標楷體"/>
          <w:sz w:val="28"/>
          <w:szCs w:val="28"/>
        </w:rPr>
        <w:t>府應檢具該計畫國土復育促進地區建議事項相關資料函送中央主管機關，免依前項規定辦理。</w:t>
      </w:r>
    </w:p>
    <w:p w:rsidR="00D13709" w:rsidRDefault="002479C3">
      <w:pPr>
        <w:spacing w:line="460" w:lineRule="exact"/>
        <w:ind w:left="851" w:firstLine="567"/>
        <w:jc w:val="both"/>
        <w:rPr>
          <w:rFonts w:ascii="標楷體" w:eastAsia="標楷體" w:hAnsi="標楷體" w:cs="標楷體"/>
          <w:sz w:val="28"/>
          <w:szCs w:val="28"/>
        </w:rPr>
      </w:pPr>
      <w:r>
        <w:rPr>
          <w:rFonts w:ascii="標楷體" w:eastAsia="標楷體" w:hAnsi="標楷體" w:cs="標楷體"/>
          <w:sz w:val="28"/>
          <w:szCs w:val="28"/>
        </w:rPr>
        <w:t>前二項建議，經中央主管機關檢視屬於本法第三十五條第一項各款地區之一者，應將建議事項交由該目的事業主管機關依第二條規定辦理評估，目的事業主管機關應將評估結果函復提案機關（構）、人民或團體及相關直轄市、縣</w:t>
      </w:r>
      <w:r>
        <w:rPr>
          <w:rFonts w:ascii="標楷體" w:eastAsia="標楷體" w:hAnsi="標楷體" w:cs="標楷體"/>
          <w:sz w:val="28"/>
          <w:szCs w:val="28"/>
        </w:rPr>
        <w:t>(</w:t>
      </w:r>
      <w:r>
        <w:rPr>
          <w:rFonts w:ascii="標楷體" w:eastAsia="標楷體" w:hAnsi="標楷體" w:cs="標楷體"/>
          <w:sz w:val="28"/>
          <w:szCs w:val="28"/>
        </w:rPr>
        <w:t>市</w:t>
      </w:r>
      <w:r>
        <w:rPr>
          <w:rFonts w:ascii="標楷體" w:eastAsia="標楷體" w:hAnsi="標楷體" w:cs="標楷體"/>
          <w:sz w:val="28"/>
          <w:szCs w:val="28"/>
        </w:rPr>
        <w:t>)</w:t>
      </w:r>
      <w:r>
        <w:rPr>
          <w:rFonts w:ascii="標楷體" w:eastAsia="標楷體" w:hAnsi="標楷體" w:cs="標楷體"/>
          <w:sz w:val="28"/>
          <w:szCs w:val="28"/>
        </w:rPr>
        <w:t>政府；經評估有劃定國土復育促進地區之必要者，應依前條規定擬具劃定計畫。</w:t>
      </w:r>
    </w:p>
    <w:p w:rsidR="00D13709" w:rsidRDefault="002479C3">
      <w:pPr>
        <w:spacing w:line="460" w:lineRule="exact"/>
        <w:ind w:left="851" w:hanging="851"/>
        <w:jc w:val="both"/>
        <w:rPr>
          <w:rFonts w:ascii="標楷體" w:eastAsia="標楷體" w:hAnsi="標楷體" w:cs="標楷體"/>
          <w:sz w:val="28"/>
          <w:szCs w:val="28"/>
        </w:rPr>
      </w:pPr>
      <w:r>
        <w:rPr>
          <w:rFonts w:ascii="標楷體" w:eastAsia="標楷體" w:hAnsi="標楷體" w:cs="標楷體"/>
          <w:sz w:val="28"/>
          <w:szCs w:val="28"/>
        </w:rPr>
        <w:t>第五條　　劃定機關應將劃定計畫於劃定地區所在直轄市、縣</w:t>
      </w:r>
      <w:r>
        <w:rPr>
          <w:rFonts w:ascii="標楷體" w:eastAsia="標楷體" w:hAnsi="標楷體" w:cs="標楷體"/>
          <w:sz w:val="28"/>
          <w:szCs w:val="28"/>
        </w:rPr>
        <w:t>(</w:t>
      </w:r>
      <w:r>
        <w:rPr>
          <w:rFonts w:ascii="標楷體" w:eastAsia="標楷體" w:hAnsi="標楷體" w:cs="標楷體"/>
          <w:sz w:val="28"/>
          <w:szCs w:val="28"/>
        </w:rPr>
        <w:t>市</w:t>
      </w:r>
      <w:r>
        <w:rPr>
          <w:rFonts w:ascii="標楷體" w:eastAsia="標楷體" w:hAnsi="標楷體" w:cs="標楷體"/>
          <w:sz w:val="28"/>
          <w:szCs w:val="28"/>
        </w:rPr>
        <w:t>)</w:t>
      </w:r>
      <w:r>
        <w:rPr>
          <w:rFonts w:ascii="標楷體" w:eastAsia="標楷體" w:hAnsi="標楷體" w:cs="標楷體"/>
          <w:sz w:val="28"/>
          <w:szCs w:val="28"/>
        </w:rPr>
        <w:t>適當地點公開展覽三十日，並將公開展覽之日期及地點登載於政府公報、新聞紙、網際網路或以其他適</w:t>
      </w:r>
      <w:r>
        <w:rPr>
          <w:rFonts w:ascii="標楷體" w:eastAsia="標楷體" w:hAnsi="標楷體" w:cs="標楷體"/>
          <w:sz w:val="28"/>
          <w:szCs w:val="28"/>
        </w:rPr>
        <w:t>當方法廣泛周知。任何人民或團體得於公開展覽期間內，以書面載明姓名或名稱及地址，向劃定機關提出意見。</w:t>
      </w:r>
    </w:p>
    <w:p w:rsidR="00D13709" w:rsidRDefault="002479C3">
      <w:pPr>
        <w:spacing w:line="460" w:lineRule="exact"/>
        <w:ind w:left="851" w:firstLine="567"/>
        <w:jc w:val="both"/>
        <w:rPr>
          <w:rFonts w:ascii="標楷體" w:eastAsia="標楷體" w:hAnsi="標楷體" w:cs="標楷體"/>
          <w:sz w:val="28"/>
          <w:szCs w:val="28"/>
        </w:rPr>
      </w:pPr>
      <w:r>
        <w:rPr>
          <w:rFonts w:ascii="標楷體" w:eastAsia="標楷體" w:hAnsi="標楷體" w:cs="標楷體"/>
          <w:sz w:val="28"/>
          <w:szCs w:val="28"/>
        </w:rPr>
        <w:t>劃定計畫公開展覽期滿後，劃定機關應公告劃定國土復育促進地區，公告期間不得少於三十日，並將公告內容、意見回應或參採情形登載於政府公報、新聞紙、網際網路或以其他適當方法廣泛周知。</w:t>
      </w:r>
    </w:p>
    <w:p w:rsidR="00D13709" w:rsidRDefault="002479C3">
      <w:pPr>
        <w:spacing w:line="460" w:lineRule="exact"/>
        <w:ind w:left="851" w:hanging="851"/>
        <w:jc w:val="both"/>
        <w:rPr>
          <w:rFonts w:ascii="標楷體" w:eastAsia="標楷體" w:hAnsi="標楷體" w:cs="標楷體"/>
          <w:sz w:val="28"/>
          <w:szCs w:val="28"/>
        </w:rPr>
      </w:pPr>
      <w:r>
        <w:rPr>
          <w:rFonts w:ascii="標楷體" w:eastAsia="標楷體" w:hAnsi="標楷體" w:cs="標楷體"/>
          <w:sz w:val="28"/>
          <w:szCs w:val="28"/>
        </w:rPr>
        <w:t>第六條　　國土復育促進地區經劃定後，劃定機關應擬訂復育計畫，載明下列事項：</w:t>
      </w:r>
    </w:p>
    <w:p w:rsidR="00D13709" w:rsidRDefault="002479C3">
      <w:pPr>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一、劃定依據。</w:t>
      </w:r>
    </w:p>
    <w:p w:rsidR="00D13709" w:rsidRDefault="002479C3">
      <w:pPr>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二、環境現況基本資料及分析。</w:t>
      </w:r>
    </w:p>
    <w:p w:rsidR="00D13709" w:rsidRDefault="002479C3">
      <w:pPr>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三、劃定範圍：以比例尺不小於五千分之一之地形圖或相片基本圖繪製。</w:t>
      </w:r>
    </w:p>
    <w:p w:rsidR="00D13709" w:rsidRDefault="002479C3">
      <w:pPr>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四、計畫年期。</w:t>
      </w:r>
    </w:p>
    <w:p w:rsidR="00D13709" w:rsidRDefault="002479C3">
      <w:pPr>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五、劃定目的。</w:t>
      </w:r>
    </w:p>
    <w:p w:rsidR="00D13709" w:rsidRDefault="002479C3">
      <w:pPr>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六、復育標的。</w:t>
      </w:r>
    </w:p>
    <w:p w:rsidR="00D13709" w:rsidRDefault="002479C3">
      <w:pPr>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七、執行事項。</w:t>
      </w:r>
    </w:p>
    <w:p w:rsidR="00D13709" w:rsidRDefault="002479C3">
      <w:pPr>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lastRenderedPageBreak/>
        <w:t>八、禁止、相容與限制及土地使用建議事項。</w:t>
      </w:r>
    </w:p>
    <w:p w:rsidR="00D13709" w:rsidRDefault="002479C3">
      <w:pPr>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九、執行機關、經費及進度。</w:t>
      </w:r>
    </w:p>
    <w:p w:rsidR="00D13709" w:rsidRDefault="002479C3">
      <w:pPr>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十、變更要件。</w:t>
      </w:r>
    </w:p>
    <w:p w:rsidR="00D13709" w:rsidRDefault="002479C3">
      <w:pPr>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十一、其他相關事項。</w:t>
      </w:r>
    </w:p>
    <w:p w:rsidR="00D13709" w:rsidRDefault="002479C3">
      <w:pPr>
        <w:spacing w:line="460" w:lineRule="exact"/>
        <w:ind w:left="851" w:firstLine="567"/>
        <w:jc w:val="both"/>
        <w:rPr>
          <w:rFonts w:ascii="標楷體" w:eastAsia="標楷體" w:hAnsi="標楷體" w:cs="標楷體"/>
          <w:sz w:val="28"/>
          <w:szCs w:val="28"/>
        </w:rPr>
      </w:pPr>
      <w:r>
        <w:rPr>
          <w:rFonts w:ascii="標楷體" w:eastAsia="標楷體" w:hAnsi="標楷體" w:cs="標楷體"/>
          <w:sz w:val="28"/>
          <w:szCs w:val="28"/>
        </w:rPr>
        <w:t>國土復育促進地區涉及原住民族土地，應於計畫內載明部落參與執行及管理事項。</w:t>
      </w:r>
    </w:p>
    <w:p w:rsidR="00D13709" w:rsidRDefault="002479C3">
      <w:pPr>
        <w:spacing w:line="460" w:lineRule="exact"/>
        <w:ind w:left="851" w:hanging="851"/>
        <w:jc w:val="both"/>
        <w:rPr>
          <w:rFonts w:ascii="標楷體" w:eastAsia="標楷體" w:hAnsi="標楷體" w:cs="標楷體"/>
          <w:sz w:val="28"/>
          <w:szCs w:val="28"/>
        </w:rPr>
      </w:pPr>
      <w:r>
        <w:rPr>
          <w:rFonts w:ascii="標楷體" w:eastAsia="標楷體" w:hAnsi="標楷體" w:cs="標楷體"/>
          <w:sz w:val="28"/>
          <w:szCs w:val="28"/>
        </w:rPr>
        <w:t>第七條　　劃定機關應將復育計畫於劃定地區所在直轄市、縣</w:t>
      </w:r>
      <w:r>
        <w:rPr>
          <w:rFonts w:ascii="標楷體" w:eastAsia="標楷體" w:hAnsi="標楷體" w:cs="標楷體"/>
          <w:sz w:val="28"/>
          <w:szCs w:val="28"/>
        </w:rPr>
        <w:t>(</w:t>
      </w:r>
      <w:r>
        <w:rPr>
          <w:rFonts w:ascii="標楷體" w:eastAsia="標楷體" w:hAnsi="標楷體" w:cs="標楷體"/>
          <w:sz w:val="28"/>
          <w:szCs w:val="28"/>
        </w:rPr>
        <w:t>市</w:t>
      </w:r>
      <w:r>
        <w:rPr>
          <w:rFonts w:ascii="標楷體" w:eastAsia="標楷體" w:hAnsi="標楷體" w:cs="標楷體"/>
          <w:sz w:val="28"/>
          <w:szCs w:val="28"/>
        </w:rPr>
        <w:t>)</w:t>
      </w:r>
      <w:r>
        <w:rPr>
          <w:rFonts w:ascii="標楷體" w:eastAsia="標楷體" w:hAnsi="標楷體" w:cs="標楷體"/>
          <w:sz w:val="28"/>
          <w:szCs w:val="28"/>
        </w:rPr>
        <w:t>適當地點公開展覽三十日及舉行公聽會，並將公開展覽及公聽會之日期及地點登載於政府公報、新聞紙、網際網路或其他適當方法廣泛周知。</w:t>
      </w:r>
    </w:p>
    <w:p w:rsidR="00D13709" w:rsidRDefault="002479C3">
      <w:pPr>
        <w:spacing w:line="460" w:lineRule="exact"/>
        <w:ind w:left="851" w:firstLine="567"/>
        <w:jc w:val="both"/>
        <w:rPr>
          <w:rFonts w:ascii="標楷體" w:eastAsia="標楷體" w:hAnsi="標楷體" w:cs="標楷體"/>
          <w:sz w:val="28"/>
          <w:szCs w:val="28"/>
        </w:rPr>
      </w:pPr>
      <w:r>
        <w:rPr>
          <w:rFonts w:ascii="標楷體" w:eastAsia="標楷體" w:hAnsi="標楷體" w:cs="標楷體"/>
          <w:sz w:val="28"/>
          <w:szCs w:val="28"/>
        </w:rPr>
        <w:t>任何人民或團體得於公開展覽期間內，以書面載明姓名或名稱及地址，向劃定機關提出意見，由劃定機關將復育計畫、人民或團體意見及參採情形</w:t>
      </w:r>
      <w:r>
        <w:rPr>
          <w:rFonts w:ascii="標楷體" w:eastAsia="標楷體" w:hAnsi="標楷體" w:cs="標楷體"/>
          <w:sz w:val="28"/>
          <w:szCs w:val="28"/>
        </w:rPr>
        <w:t>，報請中央目的事業主管機關核定。</w:t>
      </w:r>
    </w:p>
    <w:p w:rsidR="00D13709" w:rsidRDefault="002479C3">
      <w:pPr>
        <w:spacing w:line="460" w:lineRule="exact"/>
        <w:ind w:left="851" w:firstLine="567"/>
        <w:jc w:val="both"/>
        <w:rPr>
          <w:rFonts w:ascii="標楷體" w:eastAsia="標楷體" w:hAnsi="標楷體" w:cs="標楷體"/>
          <w:sz w:val="28"/>
          <w:szCs w:val="28"/>
        </w:rPr>
      </w:pPr>
      <w:r>
        <w:rPr>
          <w:rFonts w:ascii="標楷體" w:eastAsia="標楷體" w:hAnsi="標楷體" w:cs="標楷體"/>
          <w:sz w:val="28"/>
          <w:szCs w:val="28"/>
        </w:rPr>
        <w:t>中央目的事業主管機關應於收到復育計畫次日起六十日內，會商有關機關核定。但情形特殊者，得延長六十日。</w:t>
      </w:r>
    </w:p>
    <w:p w:rsidR="00D13709" w:rsidRDefault="002479C3">
      <w:pPr>
        <w:spacing w:line="460" w:lineRule="exact"/>
        <w:ind w:left="851" w:firstLine="567"/>
        <w:jc w:val="both"/>
        <w:rPr>
          <w:rFonts w:ascii="標楷體" w:eastAsia="標楷體" w:hAnsi="標楷體" w:cs="標楷體"/>
          <w:sz w:val="28"/>
          <w:szCs w:val="28"/>
        </w:rPr>
      </w:pPr>
      <w:r>
        <w:rPr>
          <w:rFonts w:ascii="標楷體" w:eastAsia="標楷體" w:hAnsi="標楷體" w:cs="標楷體"/>
          <w:sz w:val="28"/>
          <w:szCs w:val="28"/>
        </w:rPr>
        <w:t>劃定機關因緊急災害防治需要，經中央目的事業主管機關同意，得縮短第一項公開展覽期間，不得少於十五日。</w:t>
      </w:r>
    </w:p>
    <w:p w:rsidR="00D13709" w:rsidRDefault="002479C3">
      <w:pPr>
        <w:spacing w:line="460" w:lineRule="exact"/>
        <w:ind w:left="851" w:firstLine="567"/>
        <w:jc w:val="both"/>
        <w:rPr>
          <w:rFonts w:ascii="標楷體" w:eastAsia="標楷體" w:hAnsi="標楷體" w:cs="標楷體"/>
          <w:sz w:val="28"/>
          <w:szCs w:val="28"/>
        </w:rPr>
      </w:pPr>
      <w:r>
        <w:rPr>
          <w:rFonts w:ascii="標楷體" w:eastAsia="標楷體" w:hAnsi="標楷體" w:cs="標楷體"/>
          <w:sz w:val="28"/>
          <w:szCs w:val="28"/>
        </w:rPr>
        <w:t>中央目的事業主管機關之認定有爭議時，準用本法第三十五條第三項規定辦理。</w:t>
      </w:r>
    </w:p>
    <w:p w:rsidR="00D13709" w:rsidRDefault="002479C3">
      <w:pPr>
        <w:spacing w:line="460" w:lineRule="exact"/>
        <w:ind w:left="851" w:hanging="851"/>
        <w:jc w:val="both"/>
        <w:rPr>
          <w:rFonts w:ascii="標楷體" w:eastAsia="標楷體" w:hAnsi="標楷體" w:cs="標楷體"/>
          <w:sz w:val="28"/>
          <w:szCs w:val="28"/>
        </w:rPr>
      </w:pPr>
      <w:r>
        <w:rPr>
          <w:rFonts w:ascii="標楷體" w:eastAsia="標楷體" w:hAnsi="標楷體" w:cs="標楷體"/>
          <w:sz w:val="28"/>
          <w:szCs w:val="28"/>
        </w:rPr>
        <w:t>第八條　　復育計畫經核定後，劃定機關應自接到核定公文之日起三十日內公告實施，並將計畫函送土地所在直轄市、縣（市）政府及鄉（鎮、市、區）公所分別公開展覽，期間不得少於九十日。計畫內容重點、意見回應或參採情形應</w:t>
      </w:r>
      <w:r>
        <w:rPr>
          <w:rFonts w:ascii="標楷體" w:eastAsia="標楷體" w:hAnsi="標楷體" w:cs="標楷體"/>
          <w:sz w:val="28"/>
          <w:szCs w:val="28"/>
        </w:rPr>
        <w:t>登載於政府公報、新聞紙、網際網路或以其他適當方法廣泛周知。</w:t>
      </w:r>
    </w:p>
    <w:p w:rsidR="00D13709" w:rsidRDefault="002479C3">
      <w:pPr>
        <w:spacing w:line="460" w:lineRule="exact"/>
        <w:ind w:left="851" w:hanging="851"/>
        <w:jc w:val="both"/>
        <w:rPr>
          <w:rFonts w:ascii="標楷體" w:eastAsia="標楷體" w:hAnsi="標楷體" w:cs="標楷體"/>
          <w:sz w:val="28"/>
          <w:szCs w:val="28"/>
        </w:rPr>
      </w:pPr>
      <w:r>
        <w:rPr>
          <w:rFonts w:ascii="標楷體" w:eastAsia="標楷體" w:hAnsi="標楷體" w:cs="標楷體"/>
          <w:sz w:val="28"/>
          <w:szCs w:val="28"/>
        </w:rPr>
        <w:t>第九條　　劃定機關於劃定國土復育促進地區時，得併同擬訂復育計畫，並依前三條規定辦理。</w:t>
      </w:r>
    </w:p>
    <w:p w:rsidR="00D13709" w:rsidRDefault="002479C3">
      <w:pPr>
        <w:spacing w:line="460" w:lineRule="exact"/>
        <w:ind w:left="851" w:hanging="851"/>
        <w:jc w:val="both"/>
        <w:rPr>
          <w:rFonts w:ascii="標楷體" w:eastAsia="標楷體" w:hAnsi="標楷體" w:cs="標楷體"/>
          <w:sz w:val="28"/>
          <w:szCs w:val="28"/>
        </w:rPr>
      </w:pPr>
      <w:r>
        <w:rPr>
          <w:rFonts w:ascii="標楷體" w:eastAsia="標楷體" w:hAnsi="標楷體" w:cs="標楷體"/>
          <w:sz w:val="28"/>
          <w:szCs w:val="28"/>
        </w:rPr>
        <w:t>第十條　　復育計畫公告實施後，劃定機關每五年應通盤檢討一次。但有下列情事之一者，劃定機關得隨時報請行政院核准變更：</w:t>
      </w:r>
    </w:p>
    <w:p w:rsidR="00D13709" w:rsidRDefault="002479C3">
      <w:pPr>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一、因應重大事變遭受損壞。</w:t>
      </w:r>
    </w:p>
    <w:p w:rsidR="00D13709" w:rsidRDefault="002479C3">
      <w:pPr>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二、避免重大災害之發生。</w:t>
      </w:r>
    </w:p>
    <w:p w:rsidR="00D13709" w:rsidRDefault="002479C3">
      <w:pPr>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三、符合復育計畫變更條件。</w:t>
      </w:r>
    </w:p>
    <w:p w:rsidR="00D13709" w:rsidRDefault="002479C3">
      <w:pPr>
        <w:spacing w:line="460" w:lineRule="exact"/>
        <w:ind w:left="851" w:firstLine="567"/>
        <w:jc w:val="both"/>
        <w:rPr>
          <w:rFonts w:ascii="標楷體" w:eastAsia="標楷體" w:hAnsi="標楷體" w:cs="標楷體"/>
          <w:sz w:val="28"/>
          <w:szCs w:val="28"/>
        </w:rPr>
      </w:pPr>
      <w:r>
        <w:rPr>
          <w:rFonts w:ascii="標楷體" w:eastAsia="標楷體" w:hAnsi="標楷體" w:cs="標楷體"/>
          <w:sz w:val="28"/>
          <w:szCs w:val="28"/>
        </w:rPr>
        <w:lastRenderedPageBreak/>
        <w:t>前項復育計畫之通盤檢討及隨時變更，應依第六條至第八條規定辦理。</w:t>
      </w:r>
    </w:p>
    <w:p w:rsidR="00D13709" w:rsidRDefault="002479C3">
      <w:pPr>
        <w:spacing w:line="460" w:lineRule="exact"/>
        <w:ind w:left="1050" w:hanging="1050"/>
        <w:jc w:val="both"/>
        <w:rPr>
          <w:rFonts w:ascii="標楷體" w:eastAsia="標楷體" w:hAnsi="標楷體" w:cs="標楷體"/>
          <w:sz w:val="28"/>
          <w:szCs w:val="28"/>
        </w:rPr>
      </w:pPr>
      <w:r>
        <w:rPr>
          <w:rFonts w:ascii="標楷體" w:eastAsia="標楷體" w:hAnsi="標楷體" w:cs="標楷體"/>
          <w:sz w:val="28"/>
          <w:szCs w:val="28"/>
        </w:rPr>
        <w:t xml:space="preserve">第十一條　</w:t>
      </w:r>
      <w:r>
        <w:rPr>
          <w:rFonts w:ascii="標楷體" w:eastAsia="標楷體" w:hAnsi="標楷體" w:cs="標楷體"/>
          <w:sz w:val="28"/>
          <w:szCs w:val="28"/>
        </w:rPr>
        <w:t xml:space="preserve"> </w:t>
      </w:r>
      <w:r>
        <w:rPr>
          <w:rFonts w:ascii="標楷體" w:eastAsia="標楷體" w:hAnsi="標楷體" w:cs="標楷體"/>
          <w:sz w:val="28"/>
          <w:szCs w:val="28"/>
        </w:rPr>
        <w:t>國土復育促進地區已完成復育計畫所載執行事項，無繼續存置必要，劃定機關得擬具廢止計畫，依第七條及第八條規定公告廢止國土復育促進地區及復育計畫。</w:t>
      </w:r>
    </w:p>
    <w:p w:rsidR="00D13709" w:rsidRDefault="002479C3">
      <w:pPr>
        <w:spacing w:line="460" w:lineRule="exact"/>
        <w:ind w:left="851" w:firstLine="759"/>
        <w:jc w:val="both"/>
        <w:rPr>
          <w:rFonts w:ascii="標楷體" w:eastAsia="標楷體" w:hAnsi="標楷體" w:cs="標楷體"/>
          <w:sz w:val="28"/>
          <w:szCs w:val="28"/>
        </w:rPr>
      </w:pPr>
      <w:r>
        <w:rPr>
          <w:rFonts w:ascii="標楷體" w:eastAsia="標楷體" w:hAnsi="標楷體" w:cs="標楷體"/>
          <w:sz w:val="28"/>
          <w:szCs w:val="28"/>
        </w:rPr>
        <w:t>前項廢止計畫應載明下列事項：</w:t>
      </w:r>
    </w:p>
    <w:p w:rsidR="00D13709" w:rsidRDefault="002479C3">
      <w:pPr>
        <w:spacing w:line="460" w:lineRule="exact"/>
        <w:ind w:left="1985" w:hanging="347"/>
        <w:jc w:val="both"/>
        <w:rPr>
          <w:rFonts w:ascii="標楷體" w:eastAsia="標楷體" w:hAnsi="標楷體" w:cs="標楷體"/>
          <w:sz w:val="28"/>
          <w:szCs w:val="28"/>
        </w:rPr>
      </w:pPr>
      <w:r>
        <w:rPr>
          <w:rFonts w:ascii="標楷體" w:eastAsia="標楷體" w:hAnsi="標楷體" w:cs="標楷體"/>
          <w:sz w:val="28"/>
          <w:szCs w:val="28"/>
        </w:rPr>
        <w:t>一、原劃定依據及目的。</w:t>
      </w:r>
    </w:p>
    <w:p w:rsidR="00D13709" w:rsidRDefault="002479C3">
      <w:pPr>
        <w:spacing w:line="460" w:lineRule="exact"/>
        <w:ind w:left="1985" w:hanging="347"/>
        <w:jc w:val="both"/>
        <w:rPr>
          <w:rFonts w:ascii="標楷體" w:eastAsia="標楷體" w:hAnsi="標楷體" w:cs="標楷體"/>
          <w:sz w:val="28"/>
          <w:szCs w:val="28"/>
        </w:rPr>
      </w:pPr>
      <w:r>
        <w:rPr>
          <w:rFonts w:ascii="標楷體" w:eastAsia="標楷體" w:hAnsi="標楷體" w:cs="標楷體"/>
          <w:sz w:val="28"/>
          <w:szCs w:val="28"/>
        </w:rPr>
        <w:t>二、原劃定範圍。</w:t>
      </w:r>
    </w:p>
    <w:p w:rsidR="00D13709" w:rsidRDefault="002479C3">
      <w:pPr>
        <w:spacing w:line="460" w:lineRule="exact"/>
        <w:ind w:left="1985" w:hanging="347"/>
        <w:jc w:val="both"/>
        <w:rPr>
          <w:rFonts w:ascii="標楷體" w:eastAsia="標楷體" w:hAnsi="標楷體" w:cs="標楷體"/>
          <w:sz w:val="28"/>
          <w:szCs w:val="28"/>
        </w:rPr>
      </w:pPr>
      <w:r>
        <w:rPr>
          <w:rFonts w:ascii="標楷體" w:eastAsia="標楷體" w:hAnsi="標楷體" w:cs="標楷體"/>
          <w:sz w:val="28"/>
          <w:szCs w:val="28"/>
        </w:rPr>
        <w:t>三、原復育計畫。</w:t>
      </w:r>
    </w:p>
    <w:p w:rsidR="00D13709" w:rsidRDefault="002479C3">
      <w:pPr>
        <w:spacing w:line="460" w:lineRule="exact"/>
        <w:ind w:left="1985" w:hanging="347"/>
        <w:jc w:val="both"/>
        <w:rPr>
          <w:rFonts w:ascii="標楷體" w:eastAsia="標楷體" w:hAnsi="標楷體" w:cs="標楷體"/>
          <w:sz w:val="28"/>
          <w:szCs w:val="28"/>
        </w:rPr>
      </w:pPr>
      <w:r>
        <w:rPr>
          <w:rFonts w:ascii="標楷體" w:eastAsia="標楷體" w:hAnsi="標楷體" w:cs="標楷體"/>
          <w:sz w:val="28"/>
          <w:szCs w:val="28"/>
        </w:rPr>
        <w:t>四、廢止原因。</w:t>
      </w:r>
    </w:p>
    <w:p w:rsidR="00D13709" w:rsidRDefault="002479C3">
      <w:pPr>
        <w:spacing w:line="460" w:lineRule="exact"/>
        <w:ind w:left="1050" w:hanging="1050"/>
        <w:jc w:val="both"/>
        <w:rPr>
          <w:rFonts w:ascii="標楷體" w:eastAsia="標楷體" w:hAnsi="標楷體" w:cs="標楷體"/>
          <w:sz w:val="28"/>
          <w:szCs w:val="28"/>
        </w:rPr>
      </w:pPr>
      <w:r>
        <w:rPr>
          <w:rFonts w:ascii="標楷體" w:eastAsia="標楷體" w:hAnsi="標楷體" w:cs="標楷體"/>
          <w:sz w:val="28"/>
          <w:szCs w:val="28"/>
        </w:rPr>
        <w:t xml:space="preserve">第十二條　</w:t>
      </w:r>
      <w:r>
        <w:rPr>
          <w:rFonts w:ascii="標楷體" w:eastAsia="標楷體" w:hAnsi="標楷體" w:cs="標楷體"/>
          <w:sz w:val="28"/>
          <w:szCs w:val="28"/>
        </w:rPr>
        <w:t xml:space="preserve"> </w:t>
      </w:r>
      <w:r>
        <w:rPr>
          <w:rFonts w:ascii="標楷體" w:eastAsia="標楷體" w:hAnsi="標楷體" w:cs="標楷體"/>
          <w:sz w:val="28"/>
          <w:szCs w:val="28"/>
        </w:rPr>
        <w:t>復育計畫涉及原住民族土地，劃定機關應邀請原住民族部落參與復育計畫擬訂、通盤檢討及隨時變更，並於召開相關會議十四日前以書面通知原住民族部落參與。</w:t>
      </w:r>
    </w:p>
    <w:p w:rsidR="00D13709" w:rsidRDefault="002479C3">
      <w:pPr>
        <w:spacing w:line="460" w:lineRule="exact"/>
        <w:ind w:left="1050" w:hanging="1050"/>
        <w:jc w:val="both"/>
      </w:pPr>
      <w:r>
        <w:rPr>
          <w:rFonts w:ascii="標楷體" w:eastAsia="標楷體" w:hAnsi="標楷體" w:cs="標楷體"/>
          <w:sz w:val="28"/>
          <w:szCs w:val="28"/>
        </w:rPr>
        <w:t xml:space="preserve">第十三條　</w:t>
      </w:r>
      <w:r>
        <w:rPr>
          <w:rFonts w:ascii="標楷體" w:eastAsia="標楷體" w:hAnsi="標楷體" w:cs="標楷體"/>
          <w:sz w:val="28"/>
          <w:szCs w:val="28"/>
        </w:rPr>
        <w:t xml:space="preserve"> </w:t>
      </w:r>
      <w:r>
        <w:rPr>
          <w:rFonts w:ascii="標楷體" w:eastAsia="標楷體" w:hAnsi="標楷體" w:cs="標楷體"/>
          <w:sz w:val="28"/>
          <w:szCs w:val="28"/>
        </w:rPr>
        <w:t>本辦法施行日期，由中央主管機關定之。</w:t>
      </w:r>
    </w:p>
    <w:sectPr w:rsidR="00D13709">
      <w:footerReference w:type="default" r:id="rId7"/>
      <w:pgSz w:w="11906" w:h="16838"/>
      <w:pgMar w:top="1440" w:right="1080" w:bottom="1440" w:left="1080" w:header="720" w:footer="720" w:gutter="0"/>
      <w:cols w:space="720"/>
      <w:docGrid w:type="lines" w:linePitch="4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9C3" w:rsidRDefault="002479C3">
      <w:r>
        <w:separator/>
      </w:r>
    </w:p>
  </w:endnote>
  <w:endnote w:type="continuationSeparator" w:id="0">
    <w:p w:rsidR="002479C3" w:rsidRDefault="0024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AB9" w:rsidRDefault="002479C3">
    <w:pPr>
      <w:pStyle w:val="a8"/>
      <w:jc w:val="center"/>
    </w:pPr>
    <w:r>
      <w:fldChar w:fldCharType="begin"/>
    </w:r>
    <w:r>
      <w:instrText xml:space="preserve"> PAGE </w:instrText>
    </w:r>
    <w:r>
      <w:fldChar w:fldCharType="separate"/>
    </w:r>
    <w:r w:rsidR="005B4BC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9C3" w:rsidRDefault="002479C3">
      <w:r>
        <w:rPr>
          <w:color w:val="000000"/>
        </w:rPr>
        <w:separator/>
      </w:r>
    </w:p>
  </w:footnote>
  <w:footnote w:type="continuationSeparator" w:id="0">
    <w:p w:rsidR="002479C3" w:rsidRDefault="00247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F758E"/>
    <w:multiLevelType w:val="multilevel"/>
    <w:tmpl w:val="2EF86202"/>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A5C65FF"/>
    <w:multiLevelType w:val="multilevel"/>
    <w:tmpl w:val="48FC5A26"/>
    <w:styleLink w:val="WWNum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ADE6E9C"/>
    <w:multiLevelType w:val="multilevel"/>
    <w:tmpl w:val="6066B26E"/>
    <w:styleLink w:val="WWNum1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7CB52D5"/>
    <w:multiLevelType w:val="multilevel"/>
    <w:tmpl w:val="05FE31E0"/>
    <w:styleLink w:val="WWNum1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59C5177"/>
    <w:multiLevelType w:val="multilevel"/>
    <w:tmpl w:val="27508E98"/>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42B30ED9"/>
    <w:multiLevelType w:val="multilevel"/>
    <w:tmpl w:val="AAC03618"/>
    <w:styleLink w:val="WWNum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9366252"/>
    <w:multiLevelType w:val="multilevel"/>
    <w:tmpl w:val="8006E24E"/>
    <w:styleLink w:val="WWNum1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CD729B9"/>
    <w:multiLevelType w:val="multilevel"/>
    <w:tmpl w:val="B96014A2"/>
    <w:styleLink w:val="WWNum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8E7529B"/>
    <w:multiLevelType w:val="multilevel"/>
    <w:tmpl w:val="85E66586"/>
    <w:styleLink w:val="WWNum1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A3977B2"/>
    <w:multiLevelType w:val="multilevel"/>
    <w:tmpl w:val="52363FD4"/>
    <w:styleLink w:val="WWNum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8194A59"/>
    <w:multiLevelType w:val="multilevel"/>
    <w:tmpl w:val="DE3AEC8E"/>
    <w:styleLink w:val="WWNum1"/>
    <w:lvl w:ilvl="0">
      <w:numFmt w:val="bullet"/>
      <w:lvlText w:val=""/>
      <w:lvlJc w:val="left"/>
      <w:pPr>
        <w:ind w:left="36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C106811"/>
    <w:multiLevelType w:val="multilevel"/>
    <w:tmpl w:val="593609C8"/>
    <w:styleLink w:val="WWNum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DDD0557"/>
    <w:multiLevelType w:val="multilevel"/>
    <w:tmpl w:val="1AA0BD52"/>
    <w:styleLink w:val="WWNum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E1D1D33"/>
    <w:multiLevelType w:val="multilevel"/>
    <w:tmpl w:val="DAFECEC0"/>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1853F64"/>
    <w:multiLevelType w:val="multilevel"/>
    <w:tmpl w:val="35F6A0AE"/>
    <w:styleLink w:val="WWNum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84A75A7"/>
    <w:multiLevelType w:val="multilevel"/>
    <w:tmpl w:val="9A16A39A"/>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4"/>
  </w:num>
  <w:num w:numId="3">
    <w:abstractNumId w:val="10"/>
  </w:num>
  <w:num w:numId="4">
    <w:abstractNumId w:val="7"/>
  </w:num>
  <w:num w:numId="5">
    <w:abstractNumId w:val="15"/>
  </w:num>
  <w:num w:numId="6">
    <w:abstractNumId w:val="11"/>
  </w:num>
  <w:num w:numId="7">
    <w:abstractNumId w:val="5"/>
  </w:num>
  <w:num w:numId="8">
    <w:abstractNumId w:val="9"/>
  </w:num>
  <w:num w:numId="9">
    <w:abstractNumId w:val="1"/>
  </w:num>
  <w:num w:numId="10">
    <w:abstractNumId w:val="14"/>
  </w:num>
  <w:num w:numId="11">
    <w:abstractNumId w:val="12"/>
  </w:num>
  <w:num w:numId="12">
    <w:abstractNumId w:val="6"/>
  </w:num>
  <w:num w:numId="13">
    <w:abstractNumId w:val="3"/>
  </w:num>
  <w:num w:numId="14">
    <w:abstractNumId w:val="8"/>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D13709"/>
    <w:rsid w:val="002479C3"/>
    <w:rsid w:val="005B4BC7"/>
    <w:rsid w:val="00D137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FF9437-B0A3-47D8-A5DF-BA736918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paragraph" w:styleId="10">
    <w:name w:val="heading 1"/>
    <w:basedOn w:val="Standard"/>
    <w:pPr>
      <w:keepNext/>
      <w:spacing w:before="180" w:after="180" w:line="720" w:lineRule="auto"/>
      <w:outlineLvl w:val="0"/>
    </w:pPr>
    <w:rPr>
      <w:rFonts w:ascii="Cambria" w:eastAsia="Cambria" w:hAnsi="Cambria" w:cs="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題-1"/>
    <w:basedOn w:val="a"/>
    <w:pPr>
      <w:spacing w:after="120" w:line="240" w:lineRule="atLeast"/>
    </w:pPr>
    <w:rPr>
      <w:rFonts w:ascii="Arial" w:eastAsia="標楷體" w:hAnsi="Arial" w:cs="Arial"/>
      <w:sz w:val="40"/>
      <w:szCs w:val="40"/>
    </w:rPr>
  </w:style>
  <w:style w:type="paragraph" w:styleId="a3">
    <w:name w:val="List Paragraph"/>
    <w:basedOn w:val="a"/>
    <w:pPr>
      <w:ind w:left="480"/>
    </w:pPr>
  </w:style>
  <w:style w:type="paragraph" w:customStyle="1" w:styleId="04">
    <w:name w:val="04_第一款"/>
    <w:basedOn w:val="a"/>
    <w:autoRedefine/>
    <w:pPr>
      <w:ind w:left="720" w:hanging="480"/>
      <w:jc w:val="both"/>
    </w:pPr>
    <w:rPr>
      <w:rFonts w:ascii="標楷體" w:eastAsia="標楷體" w:hAnsi="標楷體"/>
      <w:szCs w:val="22"/>
    </w:rPr>
  </w:style>
  <w:style w:type="character" w:customStyle="1" w:styleId="040">
    <w:name w:val="04_第一款 字元"/>
    <w:rPr>
      <w:rFonts w:ascii="標楷體" w:eastAsia="標楷體" w:hAnsi="標楷體" w:cs="Times New Roman"/>
    </w:rPr>
  </w:style>
  <w:style w:type="paragraph" w:customStyle="1" w:styleId="02">
    <w:name w:val="02_第一條"/>
    <w:basedOn w:val="a"/>
    <w:autoRedefine/>
    <w:pPr>
      <w:ind w:left="240" w:hanging="240"/>
      <w:jc w:val="both"/>
    </w:pPr>
    <w:rPr>
      <w:rFonts w:ascii="標楷體" w:eastAsia="標楷體" w:hAnsi="標楷體"/>
      <w:szCs w:val="22"/>
    </w:rPr>
  </w:style>
  <w:style w:type="character" w:customStyle="1" w:styleId="020">
    <w:name w:val="02_第一條 字元"/>
    <w:rPr>
      <w:rFonts w:ascii="標楷體" w:eastAsia="標楷體" w:hAnsi="標楷體" w:cs="Times New Roman"/>
    </w:rPr>
  </w:style>
  <w:style w:type="paragraph" w:styleId="a4">
    <w:name w:val="Balloon Text"/>
    <w:basedOn w:val="a"/>
    <w:rPr>
      <w:rFonts w:ascii="Calibri Light" w:hAnsi="Calibri Light"/>
      <w:sz w:val="18"/>
      <w:szCs w:val="18"/>
    </w:rPr>
  </w:style>
  <w:style w:type="character" w:customStyle="1" w:styleId="a5">
    <w:name w:val="註解方塊文字 字元"/>
    <w:basedOn w:val="a0"/>
    <w:rPr>
      <w:rFonts w:ascii="Calibri Light" w:eastAsia="新細明體" w:hAnsi="Calibri Light" w:cs="Times New Roman"/>
      <w:sz w:val="18"/>
      <w:szCs w:val="18"/>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Times New Roman" w:eastAsia="新細明體" w:hAnsi="Times New Roman" w:cs="Times New Roman"/>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Times New Roman" w:eastAsia="新細明體" w:hAnsi="Times New Roman" w:cs="Times New Roman"/>
      <w:sz w:val="20"/>
      <w:szCs w:val="20"/>
    </w:rPr>
  </w:style>
  <w:style w:type="character" w:customStyle="1" w:styleId="11">
    <w:name w:val="標題 1 字元"/>
    <w:basedOn w:val="a0"/>
    <w:rPr>
      <w:rFonts w:ascii="Cambria" w:eastAsia="Cambria" w:hAnsi="Cambria" w:cs="Cambria"/>
      <w:b/>
      <w:bCs/>
      <w:kern w:val="3"/>
      <w:sz w:val="52"/>
      <w:szCs w:val="52"/>
    </w:rPr>
  </w:style>
  <w:style w:type="paragraph" w:customStyle="1" w:styleId="Standard">
    <w:name w:val="Standard"/>
    <w:pPr>
      <w:widowControl w:val="0"/>
      <w:suppressAutoHyphens/>
    </w:pPr>
    <w:rPr>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a">
    <w:name w:val="List"/>
    <w:basedOn w:val="Textbody"/>
    <w:rPr>
      <w:rFonts w:cs="Mangal"/>
    </w:rPr>
  </w:style>
  <w:style w:type="paragraph" w:styleId="ab">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100">
    <w:name w:val="10_說明"/>
    <w:basedOn w:val="Standard"/>
    <w:autoRedefine/>
    <w:pPr>
      <w:spacing w:line="380" w:lineRule="exact"/>
      <w:jc w:val="both"/>
    </w:pPr>
    <w:rPr>
      <w:rFonts w:ascii="標楷體" w:eastAsia="標楷體" w:hAnsi="標楷體" w:cs="標楷體"/>
      <w:kern w:val="0"/>
    </w:rPr>
  </w:style>
  <w:style w:type="paragraph" w:customStyle="1" w:styleId="110">
    <w:name w:val="11_說明一"/>
    <w:basedOn w:val="Standard"/>
    <w:autoRedefine/>
    <w:pPr>
      <w:spacing w:line="380" w:lineRule="exact"/>
      <w:ind w:left="200" w:hanging="200"/>
      <w:jc w:val="both"/>
    </w:pPr>
    <w:rPr>
      <w:rFonts w:ascii="標楷體" w:eastAsia="標楷體" w:hAnsi="標楷體" w:cs="標楷體"/>
      <w:kern w:val="0"/>
      <w:szCs w:val="20"/>
    </w:rPr>
  </w:style>
  <w:style w:type="paragraph" w:customStyle="1" w:styleId="041">
    <w:name w:val="04_第○款"/>
    <w:basedOn w:val="Standard"/>
    <w:autoRedefine/>
    <w:pPr>
      <w:spacing w:line="380" w:lineRule="exact"/>
      <w:ind w:left="720" w:hanging="480"/>
      <w:jc w:val="both"/>
    </w:pPr>
    <w:rPr>
      <w:rFonts w:ascii="標楷體" w:eastAsia="標楷體" w:hAnsi="標楷體" w:cs="標楷體"/>
    </w:rPr>
  </w:style>
  <w:style w:type="paragraph" w:customStyle="1" w:styleId="03">
    <w:name w:val="03_第二項"/>
    <w:basedOn w:val="Standard"/>
    <w:autoRedefine/>
    <w:pPr>
      <w:spacing w:line="380" w:lineRule="exact"/>
      <w:ind w:left="240" w:firstLine="480"/>
      <w:jc w:val="both"/>
    </w:pPr>
    <w:rPr>
      <w:rFonts w:ascii="標楷體" w:eastAsia="標楷體" w:hAnsi="標楷體" w:cs="標楷體"/>
      <w:kern w:val="0"/>
    </w:rPr>
  </w:style>
  <w:style w:type="paragraph" w:customStyle="1" w:styleId="01">
    <w:name w:val="01_條文草案"/>
    <w:basedOn w:val="Standard"/>
    <w:autoRedefine/>
    <w:pPr>
      <w:spacing w:before="180" w:after="180" w:line="480" w:lineRule="exact"/>
      <w:jc w:val="center"/>
    </w:pPr>
    <w:rPr>
      <w:rFonts w:ascii="標楷體" w:eastAsia="標楷體" w:hAnsi="標楷體" w:cs="標楷體"/>
      <w:b/>
      <w:bCs/>
      <w:color w:val="000000"/>
      <w:sz w:val="40"/>
      <w:szCs w:val="40"/>
    </w:rPr>
  </w:style>
  <w:style w:type="paragraph" w:customStyle="1" w:styleId="0012">
    <w:name w:val="00_修正(12號字)"/>
    <w:basedOn w:val="02"/>
    <w:autoRedefine/>
    <w:pPr>
      <w:spacing w:line="380" w:lineRule="exact"/>
      <w:ind w:firstLine="0"/>
    </w:pPr>
    <w:rPr>
      <w:rFonts w:cs="標楷體"/>
      <w:szCs w:val="20"/>
    </w:rPr>
  </w:style>
  <w:style w:type="paragraph" w:customStyle="1" w:styleId="00">
    <w:name w:val="00_刪除"/>
    <w:basedOn w:val="02"/>
    <w:autoRedefine/>
    <w:pPr>
      <w:spacing w:line="380" w:lineRule="exact"/>
      <w:ind w:firstLine="0"/>
    </w:pPr>
    <w:rPr>
      <w:rFonts w:cs="標楷體"/>
      <w:strike/>
      <w:color w:val="FF0000"/>
      <w:szCs w:val="20"/>
    </w:rPr>
  </w:style>
  <w:style w:type="paragraph" w:styleId="ac">
    <w:name w:val="List Bullet"/>
    <w:basedOn w:val="Standard"/>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rPr>
      <w:rFonts w:ascii="細明體" w:eastAsia="細明體" w:hAnsi="細明體" w:cs="細明體"/>
      <w:kern w:val="0"/>
      <w:szCs w:val="24"/>
    </w:rPr>
  </w:style>
  <w:style w:type="paragraph" w:customStyle="1" w:styleId="TableContents">
    <w:name w:val="Table Contents"/>
    <w:basedOn w:val="Standard"/>
  </w:style>
  <w:style w:type="character" w:customStyle="1" w:styleId="101">
    <w:name w:val="10_說明 字元"/>
    <w:rPr>
      <w:rFonts w:ascii="標楷體" w:eastAsia="標楷體" w:hAnsi="標楷體" w:cs="標楷體"/>
      <w:b/>
      <w:sz w:val="24"/>
      <w:szCs w:val="24"/>
    </w:rPr>
  </w:style>
  <w:style w:type="character" w:customStyle="1" w:styleId="111">
    <w:name w:val="11_說明一 字元"/>
    <w:rPr>
      <w:rFonts w:ascii="標楷體" w:eastAsia="標楷體" w:hAnsi="標楷體" w:cs="標楷體"/>
      <w:b/>
      <w:sz w:val="24"/>
    </w:rPr>
  </w:style>
  <w:style w:type="character" w:customStyle="1" w:styleId="042">
    <w:name w:val="04_第○款 字元"/>
    <w:rPr>
      <w:rFonts w:ascii="標楷體" w:eastAsia="標楷體" w:hAnsi="標楷體" w:cs="標楷體"/>
      <w:kern w:val="3"/>
      <w:sz w:val="24"/>
      <w:szCs w:val="24"/>
    </w:rPr>
  </w:style>
  <w:style w:type="character" w:customStyle="1" w:styleId="030">
    <w:name w:val="03_第二項 字元"/>
    <w:rPr>
      <w:rFonts w:ascii="標楷體" w:eastAsia="標楷體" w:hAnsi="標楷體" w:cs="標楷體"/>
      <w:sz w:val="24"/>
      <w:szCs w:val="24"/>
    </w:rPr>
  </w:style>
  <w:style w:type="character" w:customStyle="1" w:styleId="00120">
    <w:name w:val="00_修正(12號字) 字元"/>
    <w:rPr>
      <w:rFonts w:ascii="標楷體" w:eastAsia="標楷體" w:hAnsi="標楷體" w:cs="標楷體"/>
      <w:color w:val="FF0000"/>
      <w:kern w:val="3"/>
      <w:sz w:val="24"/>
      <w:u w:val="single"/>
    </w:rPr>
  </w:style>
  <w:style w:type="character" w:customStyle="1" w:styleId="000">
    <w:name w:val="00_刪除 字元"/>
    <w:rPr>
      <w:rFonts w:ascii="標楷體" w:eastAsia="標楷體" w:hAnsi="標楷體" w:cs="Times New Roman"/>
      <w:strike/>
      <w:color w:val="FF0000"/>
      <w:kern w:val="3"/>
      <w:sz w:val="24"/>
      <w:lang w:val="en-US" w:eastAsia="zh-TW" w:bidi="ar-SA"/>
    </w:rPr>
  </w:style>
  <w:style w:type="character" w:customStyle="1" w:styleId="Internetlink">
    <w:name w:val="Internet link"/>
    <w:basedOn w:val="a0"/>
    <w:rPr>
      <w:color w:val="0000FF"/>
      <w:u w:val="single"/>
    </w:rPr>
  </w:style>
  <w:style w:type="character" w:styleId="ad">
    <w:name w:val="annotation reference"/>
    <w:basedOn w:val="a0"/>
    <w:rPr>
      <w:sz w:val="18"/>
      <w:szCs w:val="18"/>
    </w:rPr>
  </w:style>
  <w:style w:type="paragraph" w:styleId="ae">
    <w:name w:val="annotation text"/>
    <w:basedOn w:val="a"/>
    <w:rPr>
      <w:rFonts w:ascii="Calibri" w:hAnsi="Calibri"/>
      <w:szCs w:val="20"/>
    </w:rPr>
  </w:style>
  <w:style w:type="character" w:customStyle="1" w:styleId="af">
    <w:name w:val="註解文字 字元"/>
    <w:basedOn w:val="a0"/>
    <w:rPr>
      <w:rFonts w:ascii="Calibri" w:eastAsia="新細明體" w:hAnsi="Calibri" w:cs="Times New Roman"/>
      <w:kern w:val="3"/>
      <w:szCs w:val="20"/>
    </w:rPr>
  </w:style>
  <w:style w:type="paragraph" w:styleId="af0">
    <w:name w:val="annotation subject"/>
    <w:basedOn w:val="ae"/>
    <w:next w:val="ae"/>
    <w:rPr>
      <w:b/>
      <w:bCs/>
    </w:rPr>
  </w:style>
  <w:style w:type="character" w:customStyle="1" w:styleId="af1">
    <w:name w:val="註解主旨 字元"/>
    <w:basedOn w:val="af"/>
    <w:rPr>
      <w:rFonts w:ascii="Calibri" w:eastAsia="新細明體" w:hAnsi="Calibri" w:cs="Times New Roman"/>
      <w:b/>
      <w:bCs/>
      <w:kern w:val="3"/>
      <w:szCs w:val="20"/>
    </w:rPr>
  </w:style>
  <w:style w:type="paragraph" w:customStyle="1" w:styleId="05O">
    <w:name w:val="05_第O目"/>
    <w:basedOn w:val="a"/>
    <w:autoRedefine/>
    <w:pPr>
      <w:spacing w:line="380" w:lineRule="exact"/>
      <w:ind w:left="1200" w:hanging="720"/>
      <w:jc w:val="both"/>
    </w:pPr>
    <w:rPr>
      <w:rFonts w:ascii="標楷體" w:eastAsia="標楷體" w:hAnsi="標楷體"/>
    </w:rPr>
  </w:style>
  <w:style w:type="numbering" w:customStyle="1" w:styleId="1">
    <w:name w:val="無清單1"/>
    <w:basedOn w:val="a2"/>
    <w:pPr>
      <w:numPr>
        <w:numId w:val="1"/>
      </w:numPr>
    </w:pPr>
  </w:style>
  <w:style w:type="numbering" w:customStyle="1" w:styleId="2">
    <w:name w:val="無清單2"/>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魏巧蓁</dc:creator>
  <dc:description/>
  <cp:lastModifiedBy>蔡佾蒼</cp:lastModifiedBy>
  <cp:revision>2</cp:revision>
  <cp:lastPrinted>2018-01-22T03:32:00Z</cp:lastPrinted>
  <dcterms:created xsi:type="dcterms:W3CDTF">2019-05-30T03:58:00Z</dcterms:created>
  <dcterms:modified xsi:type="dcterms:W3CDTF">2019-05-30T03:58:00Z</dcterms:modified>
</cp:coreProperties>
</file>