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2B4" w:rsidRDefault="00760AA0" w:rsidP="00760AA0">
      <w:pPr>
        <w:pStyle w:val="-1"/>
        <w:spacing w:after="0" w:line="440" w:lineRule="exact"/>
        <w:jc w:val="center"/>
        <w:rPr>
          <w:rFonts w:ascii="標楷體" w:hAnsi="標楷體" w:cs="標楷體"/>
          <w:b/>
          <w:bCs/>
        </w:rPr>
      </w:pPr>
      <w:r w:rsidRPr="00AD7AC3">
        <w:rPr>
          <w:rFonts w:ascii="標楷體" w:hAnsi="標楷體" w:cs="標楷體" w:hint="eastAsia"/>
          <w:b/>
          <w:bCs/>
        </w:rPr>
        <w:t>性質重要且在一定規模以上部門計畫認定標準</w:t>
      </w:r>
    </w:p>
    <w:p w:rsidR="00760AA0" w:rsidRPr="00760AA0" w:rsidRDefault="00760AA0" w:rsidP="00760AA0">
      <w:pPr>
        <w:spacing w:line="460" w:lineRule="exact"/>
        <w:ind w:left="787" w:hangingChars="281" w:hanging="787"/>
        <w:jc w:val="both"/>
        <w:rPr>
          <w:rFonts w:ascii="標楷體" w:eastAsia="標楷體" w:hAnsi="標楷體" w:cs="標楷體"/>
          <w:sz w:val="28"/>
          <w:szCs w:val="28"/>
        </w:rPr>
      </w:pPr>
    </w:p>
    <w:p w:rsidR="00760AA0" w:rsidRPr="00760AA0" w:rsidRDefault="00760AA0" w:rsidP="007D59D8">
      <w:pPr>
        <w:spacing w:line="460" w:lineRule="exact"/>
        <w:ind w:left="787" w:hangingChars="281" w:hanging="787"/>
        <w:rPr>
          <w:rFonts w:ascii="標楷體" w:eastAsia="標楷體" w:hAnsi="標楷體" w:cs="標楷體"/>
          <w:sz w:val="28"/>
          <w:szCs w:val="28"/>
        </w:rPr>
      </w:pPr>
      <w:r w:rsidRPr="00760AA0">
        <w:rPr>
          <w:rFonts w:ascii="標楷體" w:eastAsia="標楷體" w:hAnsi="標楷體" w:cs="標楷體" w:hint="eastAsia"/>
          <w:sz w:val="28"/>
          <w:szCs w:val="28"/>
        </w:rPr>
        <w:t>第一條</w:t>
      </w:r>
      <w:r w:rsidR="007D59D8">
        <w:rPr>
          <w:rFonts w:ascii="標楷體" w:eastAsia="標楷體" w:hAnsi="標楷體" w:cs="標楷體" w:hint="eastAsia"/>
          <w:sz w:val="28"/>
          <w:szCs w:val="28"/>
        </w:rPr>
        <w:t xml:space="preserve">　　</w:t>
      </w:r>
      <w:r w:rsidRPr="00760AA0">
        <w:rPr>
          <w:rFonts w:ascii="標楷體" w:eastAsia="標楷體" w:hAnsi="標楷體" w:cs="標楷體" w:hint="eastAsia"/>
          <w:sz w:val="28"/>
          <w:szCs w:val="28"/>
        </w:rPr>
        <w:t>本標準依國土計畫法(以下簡稱本法)第十七條第三項規定訂定之。</w:t>
      </w:r>
    </w:p>
    <w:p w:rsidR="00692299" w:rsidRDefault="00760AA0" w:rsidP="007D59D8">
      <w:pPr>
        <w:spacing w:line="460" w:lineRule="exact"/>
        <w:ind w:left="787" w:hangingChars="281" w:hanging="787"/>
        <w:rPr>
          <w:rFonts w:ascii="標楷體" w:eastAsia="標楷體" w:hAnsi="標楷體" w:cs="標楷體"/>
          <w:sz w:val="28"/>
          <w:szCs w:val="28"/>
        </w:rPr>
      </w:pPr>
      <w:r w:rsidRPr="00760AA0">
        <w:rPr>
          <w:rFonts w:ascii="標楷體" w:eastAsia="標楷體" w:hAnsi="標楷體" w:cs="標楷體" w:hint="eastAsia"/>
          <w:sz w:val="28"/>
          <w:szCs w:val="28"/>
        </w:rPr>
        <w:t>第二條</w:t>
      </w:r>
      <w:r w:rsidR="007D59D8">
        <w:rPr>
          <w:rFonts w:ascii="標楷體" w:eastAsia="標楷體" w:hAnsi="標楷體" w:cs="標楷體" w:hint="eastAsia"/>
          <w:sz w:val="28"/>
          <w:szCs w:val="28"/>
        </w:rPr>
        <w:t xml:space="preserve">　　</w:t>
      </w:r>
      <w:r w:rsidR="00692299" w:rsidRPr="00692299">
        <w:rPr>
          <w:rFonts w:ascii="標楷體" w:eastAsia="標楷體" w:hAnsi="標楷體" w:cs="標楷體" w:hint="eastAsia"/>
          <w:sz w:val="28"/>
          <w:szCs w:val="28"/>
        </w:rPr>
        <w:t>本法第十七條第一項所稱性質重要且在一定規模以上之部門計畫，指住宅、產業、運輸、重要公共設施、能源及水利之中長程或個別興辦事業計畫，涉及空間發展或土地使用計畫達一定規模者。</w:t>
      </w:r>
    </w:p>
    <w:p w:rsidR="00760AA0" w:rsidRPr="00760AA0" w:rsidRDefault="007D59D8" w:rsidP="007D59D8">
      <w:pPr>
        <w:spacing w:line="460" w:lineRule="exact"/>
        <w:ind w:left="787" w:hangingChars="281" w:hanging="787"/>
        <w:rPr>
          <w:rFonts w:ascii="標楷體" w:eastAsia="標楷體" w:hAnsi="標楷體" w:cs="標楷體"/>
          <w:sz w:val="28"/>
          <w:szCs w:val="28"/>
        </w:rPr>
      </w:pPr>
      <w:bookmarkStart w:id="0" w:name="_GoBack"/>
      <w:bookmarkEnd w:id="0"/>
      <w:r w:rsidRPr="007E5BAA">
        <w:rPr>
          <w:rFonts w:ascii="標楷體" w:eastAsia="標楷體" w:hAnsi="標楷體" w:cs="標楷體" w:hint="eastAsia"/>
          <w:sz w:val="28"/>
          <w:szCs w:val="28"/>
        </w:rPr>
        <w:t xml:space="preserve">　　　</w:t>
      </w:r>
      <w:r w:rsidR="001E270F">
        <w:rPr>
          <w:rFonts w:ascii="標楷體" w:eastAsia="標楷體" w:hAnsi="標楷體" w:cs="標楷體" w:hint="eastAsia"/>
          <w:sz w:val="28"/>
          <w:szCs w:val="28"/>
        </w:rPr>
        <w:t xml:space="preserve">　　</w:t>
      </w:r>
      <w:r w:rsidR="00760AA0" w:rsidRPr="00760AA0">
        <w:rPr>
          <w:rFonts w:ascii="標楷體" w:eastAsia="標楷體" w:hAnsi="標楷體" w:cs="標楷體" w:hint="eastAsia"/>
          <w:sz w:val="28"/>
          <w:szCs w:val="28"/>
        </w:rPr>
        <w:t>前項一定規模認定原則如附表。</w:t>
      </w:r>
    </w:p>
    <w:p w:rsidR="00760AA0" w:rsidRPr="00760AA0" w:rsidRDefault="00760AA0" w:rsidP="007D59D8">
      <w:pPr>
        <w:spacing w:line="460" w:lineRule="exact"/>
        <w:ind w:left="787" w:hangingChars="281" w:hanging="787"/>
        <w:rPr>
          <w:rFonts w:ascii="標楷體" w:eastAsia="標楷體" w:hAnsi="標楷體" w:cs="標楷體"/>
          <w:sz w:val="28"/>
          <w:szCs w:val="28"/>
        </w:rPr>
      </w:pPr>
      <w:r w:rsidRPr="00760AA0">
        <w:rPr>
          <w:rFonts w:ascii="標楷體" w:eastAsia="標楷體" w:hAnsi="標楷體" w:cs="標楷體" w:hint="eastAsia"/>
          <w:sz w:val="28"/>
          <w:szCs w:val="28"/>
        </w:rPr>
        <w:t>第三條</w:t>
      </w:r>
      <w:r w:rsidR="007D59D8">
        <w:rPr>
          <w:rFonts w:ascii="標楷體" w:eastAsia="標楷體" w:hAnsi="標楷體" w:cs="標楷體" w:hint="eastAsia"/>
          <w:sz w:val="28"/>
          <w:szCs w:val="28"/>
        </w:rPr>
        <w:t xml:space="preserve">　　</w:t>
      </w:r>
      <w:r w:rsidRPr="00760AA0">
        <w:rPr>
          <w:rFonts w:ascii="標楷體" w:eastAsia="標楷體" w:hAnsi="標楷體" w:cs="標楷體" w:hint="eastAsia"/>
          <w:sz w:val="28"/>
          <w:szCs w:val="28"/>
        </w:rPr>
        <w:t>非屬前條第一項規定之部門計畫，其事業性質或規模達本法第二十四條第一項規定者，得於先期規劃階段徵詢同級國土計畫主管機關意見。</w:t>
      </w:r>
    </w:p>
    <w:p w:rsidR="00B83567" w:rsidRDefault="00760AA0" w:rsidP="007D59D8">
      <w:pPr>
        <w:spacing w:line="460" w:lineRule="exact"/>
        <w:ind w:left="787" w:hangingChars="281" w:hanging="787"/>
        <w:rPr>
          <w:rFonts w:ascii="標楷體" w:eastAsia="標楷體" w:hAnsi="標楷體" w:cs="標楷體"/>
          <w:sz w:val="28"/>
          <w:szCs w:val="28"/>
        </w:rPr>
      </w:pPr>
      <w:r w:rsidRPr="00760AA0">
        <w:rPr>
          <w:rFonts w:ascii="標楷體" w:eastAsia="標楷體" w:hAnsi="標楷體" w:cs="標楷體" w:hint="eastAsia"/>
          <w:sz w:val="28"/>
          <w:szCs w:val="28"/>
        </w:rPr>
        <w:t>第四條</w:t>
      </w:r>
      <w:r w:rsidR="00B83567">
        <w:rPr>
          <w:rFonts w:ascii="標楷體" w:eastAsia="標楷體" w:hAnsi="標楷體" w:cs="標楷體" w:hint="eastAsia"/>
          <w:sz w:val="28"/>
          <w:szCs w:val="28"/>
        </w:rPr>
        <w:t xml:space="preserve">　　</w:t>
      </w:r>
      <w:r w:rsidRPr="00760AA0">
        <w:rPr>
          <w:rFonts w:ascii="標楷體" w:eastAsia="標楷體" w:hAnsi="標楷體" w:cs="標楷體" w:hint="eastAsia"/>
          <w:sz w:val="28"/>
          <w:szCs w:val="28"/>
        </w:rPr>
        <w:t>本標準施行日期，由中央主管機關定之。</w:t>
      </w:r>
    </w:p>
    <w:p w:rsidR="00B83567" w:rsidRDefault="00B83567">
      <w:pPr>
        <w:widowControl/>
        <w:rPr>
          <w:rFonts w:ascii="標楷體" w:eastAsia="標楷體" w:hAnsi="標楷體" w:cs="標楷體"/>
          <w:sz w:val="28"/>
          <w:szCs w:val="28"/>
        </w:rPr>
      </w:pPr>
      <w:r>
        <w:rPr>
          <w:rFonts w:ascii="標楷體" w:eastAsia="標楷體" w:hAnsi="標楷體" w:cs="標楷體"/>
          <w:sz w:val="28"/>
          <w:szCs w:val="28"/>
        </w:rPr>
        <w:br w:type="page"/>
      </w:r>
    </w:p>
    <w:p w:rsidR="008E5B0A" w:rsidRDefault="008E5B0A">
      <w:pPr>
        <w:widowControl/>
        <w:rPr>
          <w:rFonts w:ascii="標楷體" w:eastAsia="標楷體" w:hAnsi="標楷體" w:cs="標楷體"/>
          <w:b/>
          <w:bCs/>
          <w:sz w:val="40"/>
          <w:szCs w:val="40"/>
        </w:rPr>
      </w:pPr>
      <w:r>
        <w:rPr>
          <w:sz w:val="40"/>
          <w:szCs w:val="40"/>
        </w:rPr>
        <w:lastRenderedPageBreak/>
        <w:br w:type="page"/>
      </w:r>
    </w:p>
    <w:p w:rsidR="00B83567" w:rsidRPr="002B4413" w:rsidRDefault="00B83567" w:rsidP="00B83567">
      <w:pPr>
        <w:pStyle w:val="01"/>
        <w:rPr>
          <w:color w:val="auto"/>
          <w:sz w:val="28"/>
          <w:szCs w:val="28"/>
        </w:rPr>
      </w:pPr>
      <w:r w:rsidRPr="00AE5F15">
        <w:rPr>
          <w:rFonts w:hint="eastAsia"/>
          <w:color w:val="auto"/>
          <w:sz w:val="40"/>
          <w:szCs w:val="40"/>
        </w:rPr>
        <w:t>附表 性質重要部門計畫之一定規模認定原則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7"/>
        <w:gridCol w:w="1627"/>
        <w:gridCol w:w="1982"/>
        <w:gridCol w:w="3541"/>
      </w:tblGrid>
      <w:tr w:rsidR="005A1939" w:rsidRPr="002B4413" w:rsidTr="005A1939">
        <w:trPr>
          <w:trHeight w:val="411"/>
          <w:jc w:val="center"/>
        </w:trPr>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rsidR="00462751" w:rsidRPr="002B4413" w:rsidRDefault="00462751" w:rsidP="005A1939">
            <w:pPr>
              <w:jc w:val="center"/>
              <w:rPr>
                <w:rFonts w:ascii="標楷體" w:eastAsia="標楷體" w:hAnsi="標楷體"/>
                <w:b/>
                <w:bCs/>
              </w:rPr>
            </w:pPr>
            <w:r w:rsidRPr="002B4413">
              <w:rPr>
                <w:rFonts w:ascii="標楷體" w:eastAsia="標楷體" w:hAnsi="標楷體" w:hint="eastAsia"/>
                <w:b/>
                <w:bCs/>
              </w:rPr>
              <w:t>部門</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rsidR="00462751" w:rsidRPr="002B4413" w:rsidRDefault="00462751" w:rsidP="005A1939">
            <w:pPr>
              <w:jc w:val="center"/>
              <w:rPr>
                <w:rFonts w:ascii="標楷體" w:eastAsia="標楷體" w:hAnsi="標楷體"/>
                <w:b/>
                <w:bCs/>
              </w:rPr>
            </w:pPr>
            <w:r w:rsidRPr="002B4413">
              <w:rPr>
                <w:rFonts w:ascii="標楷體" w:eastAsia="標楷體" w:hAnsi="標楷體" w:hint="eastAsia"/>
                <w:b/>
                <w:bCs/>
              </w:rPr>
              <w:t>項目</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rsidR="00462751" w:rsidRPr="002B4413" w:rsidRDefault="00462751" w:rsidP="005A1939">
            <w:pPr>
              <w:jc w:val="center"/>
              <w:rPr>
                <w:rFonts w:ascii="標楷體" w:eastAsia="標楷體" w:hAnsi="標楷體"/>
                <w:b/>
                <w:bCs/>
              </w:rPr>
            </w:pPr>
            <w:r w:rsidRPr="002B4413">
              <w:rPr>
                <w:rFonts w:ascii="標楷體" w:eastAsia="標楷體" w:hAnsi="標楷體" w:hint="eastAsia"/>
                <w:b/>
                <w:bCs/>
              </w:rPr>
              <w:t>細項</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462751" w:rsidRPr="002B4413" w:rsidRDefault="00462751" w:rsidP="005A1939">
            <w:pPr>
              <w:jc w:val="center"/>
              <w:rPr>
                <w:rFonts w:ascii="標楷體" w:eastAsia="標楷體" w:hAnsi="標楷體"/>
                <w:b/>
                <w:bCs/>
              </w:rPr>
            </w:pPr>
            <w:r w:rsidRPr="002B4413">
              <w:rPr>
                <w:rFonts w:ascii="標楷體" w:eastAsia="標楷體" w:hAnsi="標楷體" w:hint="eastAsia"/>
                <w:b/>
                <w:bCs/>
              </w:rPr>
              <w:t>規模</w:t>
            </w:r>
          </w:p>
        </w:tc>
      </w:tr>
      <w:tr w:rsidR="005A1939" w:rsidRPr="002B4413" w:rsidTr="005A1939">
        <w:trPr>
          <w:tblHeader/>
          <w:jc w:val="center"/>
        </w:trPr>
        <w:tc>
          <w:tcPr>
            <w:tcW w:w="92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r w:rsidRPr="002B4413">
              <w:rPr>
                <w:rFonts w:ascii="標楷體" w:eastAsia="標楷體" w:hAnsi="標楷體" w:hint="eastAsia"/>
              </w:rPr>
              <w:t>一、住宅</w:t>
            </w: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r w:rsidRPr="002B4413">
              <w:rPr>
                <w:rFonts w:ascii="標楷體" w:eastAsia="標楷體" w:hAnsi="標楷體" w:hint="eastAsia"/>
              </w:rPr>
              <w:t>住宅</w:t>
            </w: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社會住宅</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新設、擴大或變更計畫土地面積達</w:t>
            </w:r>
            <w:r w:rsidRPr="002B4413">
              <w:rPr>
                <w:rFonts w:ascii="標楷體" w:eastAsia="標楷體" w:hAnsi="標楷體"/>
              </w:rPr>
              <w:t>十</w:t>
            </w:r>
            <w:r w:rsidRPr="002B4413">
              <w:rPr>
                <w:rFonts w:ascii="標楷體" w:eastAsia="標楷體" w:hAnsi="標楷體" w:hint="eastAsia"/>
              </w:rPr>
              <w:t>公頃以上。</w:t>
            </w:r>
          </w:p>
        </w:tc>
      </w:tr>
      <w:tr w:rsidR="005A1939" w:rsidRPr="002B4413" w:rsidTr="005A1939">
        <w:trPr>
          <w:tblHeader/>
          <w:jc w:val="center"/>
        </w:trPr>
        <w:tc>
          <w:tcPr>
            <w:tcW w:w="927" w:type="pct"/>
            <w:vMerge w:val="restar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r w:rsidRPr="002B4413">
              <w:rPr>
                <w:rFonts w:ascii="標楷體" w:eastAsia="標楷體" w:hAnsi="標楷體" w:hint="eastAsia"/>
              </w:rPr>
              <w:t>二、產業</w:t>
            </w: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r w:rsidRPr="002B4413">
              <w:rPr>
                <w:rFonts w:ascii="標楷體" w:eastAsia="標楷體" w:hAnsi="標楷體" w:hint="eastAsia"/>
              </w:rPr>
              <w:t>農業</w:t>
            </w: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農業科技園區</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新設、擴大或變更計畫土地面積達</w:t>
            </w:r>
            <w:r w:rsidRPr="002B4413">
              <w:rPr>
                <w:rFonts w:ascii="標楷體" w:eastAsia="標楷體" w:hAnsi="標楷體"/>
              </w:rPr>
              <w:t>三十</w:t>
            </w:r>
            <w:r w:rsidRPr="002B4413">
              <w:rPr>
                <w:rFonts w:ascii="標楷體" w:eastAsia="標楷體" w:hAnsi="標楷體" w:hint="eastAsia"/>
              </w:rPr>
              <w:t>公頃以上。</w:t>
            </w:r>
          </w:p>
        </w:tc>
      </w:tr>
      <w:tr w:rsidR="005A1939" w:rsidRPr="00462751" w:rsidTr="005A1939">
        <w:trPr>
          <w:tblHeader/>
          <w:jc w:val="center"/>
        </w:trPr>
        <w:tc>
          <w:tcPr>
            <w:tcW w:w="927" w:type="pct"/>
            <w:vMerge/>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927" w:type="pct"/>
            <w:vMerge w:val="restar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r w:rsidRPr="002B4413">
              <w:rPr>
                <w:rFonts w:ascii="標楷體" w:eastAsia="標楷體" w:hAnsi="標楷體" w:hint="eastAsia"/>
              </w:rPr>
              <w:t>工業</w:t>
            </w: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產業園區、加工出口區、工業專用港</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新設、擴大或變更計畫土地面積達</w:t>
            </w:r>
            <w:r w:rsidRPr="002B4413">
              <w:rPr>
                <w:rFonts w:ascii="標楷體" w:eastAsia="標楷體" w:hAnsi="標楷體"/>
              </w:rPr>
              <w:t>三十</w:t>
            </w:r>
            <w:r w:rsidRPr="002B4413">
              <w:rPr>
                <w:rFonts w:ascii="標楷體" w:eastAsia="標楷體" w:hAnsi="標楷體" w:hint="eastAsia"/>
              </w:rPr>
              <w:t>公頃以上。</w:t>
            </w:r>
          </w:p>
        </w:tc>
      </w:tr>
      <w:tr w:rsidR="005A1939" w:rsidRPr="002B4413" w:rsidTr="005A1939">
        <w:trPr>
          <w:tblHeader/>
          <w:jc w:val="center"/>
        </w:trPr>
        <w:tc>
          <w:tcPr>
            <w:tcW w:w="927" w:type="pct"/>
            <w:vMerge/>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927" w:type="pct"/>
            <w:vMerge/>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科學工業園區</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新設、擴大或變更計畫土地面積達</w:t>
            </w:r>
            <w:r w:rsidRPr="002B4413">
              <w:rPr>
                <w:rFonts w:ascii="標楷體" w:eastAsia="標楷體" w:hAnsi="標楷體"/>
              </w:rPr>
              <w:t>三十</w:t>
            </w:r>
            <w:r w:rsidRPr="002B4413">
              <w:rPr>
                <w:rFonts w:ascii="標楷體" w:eastAsia="標楷體" w:hAnsi="標楷體" w:hint="eastAsia"/>
              </w:rPr>
              <w:t>公頃以上。</w:t>
            </w:r>
          </w:p>
        </w:tc>
      </w:tr>
      <w:tr w:rsidR="005A1939" w:rsidRPr="002B4413" w:rsidTr="005A1939">
        <w:trPr>
          <w:tblHeader/>
          <w:jc w:val="center"/>
        </w:trPr>
        <w:tc>
          <w:tcPr>
            <w:tcW w:w="927" w:type="pct"/>
            <w:vMerge w:val="restar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r w:rsidRPr="002B4413">
              <w:rPr>
                <w:rFonts w:ascii="標楷體" w:eastAsia="標楷體" w:hAnsi="標楷體" w:hint="eastAsia"/>
              </w:rPr>
              <w:t>三、運輸</w:t>
            </w:r>
          </w:p>
        </w:tc>
        <w:tc>
          <w:tcPr>
            <w:tcW w:w="927" w:type="pct"/>
            <w:vMerge w:val="restart"/>
            <w:tcBorders>
              <w:top w:val="single" w:sz="4" w:space="0" w:color="auto"/>
              <w:left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r w:rsidRPr="002B4413">
              <w:rPr>
                <w:rFonts w:ascii="標楷體" w:eastAsia="標楷體" w:hAnsi="標楷體" w:hint="eastAsia"/>
              </w:rPr>
              <w:t>軌道運輸</w:t>
            </w: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高速鐵路</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路線新建、改建或延伸工程長度達</w:t>
            </w:r>
            <w:r w:rsidRPr="002B4413">
              <w:rPr>
                <w:rFonts w:ascii="標楷體" w:eastAsia="標楷體" w:hAnsi="標楷體"/>
              </w:rPr>
              <w:t>十</w:t>
            </w:r>
            <w:r w:rsidRPr="002B4413">
              <w:rPr>
                <w:rFonts w:ascii="標楷體" w:eastAsia="標楷體" w:hAnsi="標楷體" w:hint="eastAsia"/>
              </w:rPr>
              <w:t>公里以上。</w:t>
            </w:r>
          </w:p>
        </w:tc>
      </w:tr>
      <w:tr w:rsidR="005A1939" w:rsidRPr="002B4413" w:rsidTr="005A1939">
        <w:trPr>
          <w:tblHeader/>
          <w:jc w:val="center"/>
        </w:trPr>
        <w:tc>
          <w:tcPr>
            <w:tcW w:w="927" w:type="pct"/>
            <w:vMerge/>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927" w:type="pct"/>
            <w:vMerge/>
            <w:tcBorders>
              <w:left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鐵路</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路線新建、改建或延伸工程長度達</w:t>
            </w:r>
            <w:r w:rsidRPr="002B4413">
              <w:rPr>
                <w:rFonts w:ascii="標楷體" w:eastAsia="標楷體" w:hAnsi="標楷體"/>
              </w:rPr>
              <w:t>十</w:t>
            </w:r>
            <w:r w:rsidRPr="002B4413">
              <w:rPr>
                <w:rFonts w:ascii="標楷體" w:eastAsia="標楷體" w:hAnsi="標楷體" w:hint="eastAsia"/>
              </w:rPr>
              <w:t>公里以上。</w:t>
            </w:r>
          </w:p>
        </w:tc>
      </w:tr>
      <w:tr w:rsidR="005A1939" w:rsidRPr="002B4413" w:rsidTr="005A1939">
        <w:trPr>
          <w:tblHeader/>
          <w:jc w:val="center"/>
        </w:trPr>
        <w:tc>
          <w:tcPr>
            <w:tcW w:w="927" w:type="pct"/>
            <w:vMerge/>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927" w:type="pct"/>
            <w:vMerge/>
            <w:tcBorders>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大眾捷運系統</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路線新建、改建或延伸工程長度達</w:t>
            </w:r>
            <w:r w:rsidRPr="002B4413">
              <w:rPr>
                <w:rFonts w:ascii="標楷體" w:eastAsia="標楷體" w:hAnsi="標楷體"/>
              </w:rPr>
              <w:t>十</w:t>
            </w:r>
            <w:r w:rsidRPr="002B4413">
              <w:rPr>
                <w:rFonts w:ascii="標楷體" w:eastAsia="標楷體" w:hAnsi="標楷體" w:hint="eastAsia"/>
              </w:rPr>
              <w:t>公里以上。</w:t>
            </w:r>
          </w:p>
        </w:tc>
      </w:tr>
      <w:tr w:rsidR="005A1939" w:rsidRPr="002B4413" w:rsidTr="005A1939">
        <w:trPr>
          <w:tblHeader/>
          <w:jc w:val="center"/>
        </w:trPr>
        <w:tc>
          <w:tcPr>
            <w:tcW w:w="927" w:type="pct"/>
            <w:vMerge/>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927" w:type="pct"/>
            <w:vMerge w:val="restar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r w:rsidRPr="002B4413">
              <w:rPr>
                <w:rFonts w:ascii="標楷體" w:eastAsia="標楷體" w:hAnsi="標楷體" w:hint="eastAsia"/>
              </w:rPr>
              <w:t>公路運輸</w:t>
            </w: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國道</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路線新建、改建或延伸工程長度達</w:t>
            </w:r>
            <w:r w:rsidRPr="002B4413">
              <w:rPr>
                <w:rFonts w:ascii="標楷體" w:eastAsia="標楷體" w:hAnsi="標楷體"/>
              </w:rPr>
              <w:t>十</w:t>
            </w:r>
            <w:r w:rsidRPr="002B4413">
              <w:rPr>
                <w:rFonts w:ascii="標楷體" w:eastAsia="標楷體" w:hAnsi="標楷體" w:hint="eastAsia"/>
              </w:rPr>
              <w:t>公里以上。</w:t>
            </w:r>
          </w:p>
        </w:tc>
      </w:tr>
      <w:tr w:rsidR="005A1939" w:rsidRPr="002B4413" w:rsidTr="005A1939">
        <w:trPr>
          <w:tblHeader/>
          <w:jc w:val="center"/>
        </w:trPr>
        <w:tc>
          <w:tcPr>
            <w:tcW w:w="927" w:type="pct"/>
            <w:vMerge/>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927" w:type="pct"/>
            <w:vMerge/>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省道</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路線新建、改建或延伸工程長度達</w:t>
            </w:r>
            <w:r w:rsidRPr="002B4413">
              <w:rPr>
                <w:rFonts w:ascii="標楷體" w:eastAsia="標楷體" w:hAnsi="標楷體"/>
              </w:rPr>
              <w:t>十</w:t>
            </w:r>
            <w:r w:rsidRPr="002B4413">
              <w:rPr>
                <w:rFonts w:ascii="標楷體" w:eastAsia="標楷體" w:hAnsi="標楷體" w:hint="eastAsia"/>
              </w:rPr>
              <w:t>公里以上。</w:t>
            </w:r>
          </w:p>
        </w:tc>
      </w:tr>
      <w:tr w:rsidR="005A1939" w:rsidRPr="002B4413" w:rsidTr="005A1939">
        <w:trPr>
          <w:trHeight w:val="1072"/>
          <w:tblHeader/>
          <w:jc w:val="center"/>
        </w:trPr>
        <w:tc>
          <w:tcPr>
            <w:tcW w:w="927" w:type="pct"/>
            <w:vMerge/>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r w:rsidRPr="002B4413">
              <w:rPr>
                <w:rFonts w:ascii="標楷體" w:eastAsia="標楷體" w:hAnsi="標楷體" w:hint="eastAsia"/>
              </w:rPr>
              <w:t>航空運輸</w:t>
            </w: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民用機場</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新設、擴大或變更計畫土地面積達</w:t>
            </w:r>
            <w:r w:rsidRPr="002B4413">
              <w:rPr>
                <w:rFonts w:ascii="標楷體" w:eastAsia="標楷體" w:hAnsi="標楷體"/>
              </w:rPr>
              <w:t>三十</w:t>
            </w:r>
            <w:r w:rsidRPr="002B4413">
              <w:rPr>
                <w:rFonts w:ascii="標楷體" w:eastAsia="標楷體" w:hAnsi="標楷體" w:hint="eastAsia"/>
              </w:rPr>
              <w:t>公頃以上或離島地區為十五公頃以上。</w:t>
            </w:r>
          </w:p>
        </w:tc>
      </w:tr>
      <w:tr w:rsidR="005A1939" w:rsidRPr="002B4413" w:rsidTr="005A1939">
        <w:trPr>
          <w:tblHeader/>
          <w:jc w:val="center"/>
        </w:trPr>
        <w:tc>
          <w:tcPr>
            <w:tcW w:w="927" w:type="pct"/>
            <w:vMerge/>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r w:rsidRPr="002B4413">
              <w:rPr>
                <w:rFonts w:ascii="標楷體" w:eastAsia="標楷體" w:hAnsi="標楷體" w:hint="eastAsia"/>
              </w:rPr>
              <w:t>港埠</w:t>
            </w: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商港</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新設、擴大或變更計畫土地面積達三十公頃以上或離島地區為十五公頃以上。但既有合法港區範圍內之新建、擴建工程及填築新生地計畫，經行政院核定者，免徵詢同級主管機關意見。</w:t>
            </w:r>
          </w:p>
        </w:tc>
      </w:tr>
      <w:tr w:rsidR="005A1939" w:rsidRPr="002B4413" w:rsidTr="005A1939">
        <w:trPr>
          <w:tblHeader/>
          <w:jc w:val="center"/>
        </w:trPr>
        <w:tc>
          <w:tcPr>
            <w:tcW w:w="927" w:type="pct"/>
            <w:vMerge w:val="restart"/>
            <w:tcBorders>
              <w:top w:val="single" w:sz="4" w:space="0" w:color="auto"/>
              <w:left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r w:rsidRPr="002B4413">
              <w:rPr>
                <w:rFonts w:ascii="標楷體" w:eastAsia="標楷體" w:hAnsi="標楷體" w:hint="eastAsia"/>
              </w:rPr>
              <w:t>四、重要公共設施</w:t>
            </w: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r w:rsidRPr="002B4413">
              <w:rPr>
                <w:rFonts w:ascii="標楷體" w:eastAsia="標楷體" w:hAnsi="標楷體" w:hint="eastAsia"/>
              </w:rPr>
              <w:t>醫療設施</w:t>
            </w: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醫院</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新增或擴增一般病床數達二百床以上，或新設、擴大或變更計畫土地面積達</w:t>
            </w:r>
            <w:r w:rsidRPr="002B4413">
              <w:rPr>
                <w:rFonts w:ascii="標楷體" w:eastAsia="標楷體" w:hAnsi="標楷體"/>
              </w:rPr>
              <w:t>三十</w:t>
            </w:r>
            <w:r w:rsidRPr="002B4413">
              <w:rPr>
                <w:rFonts w:ascii="標楷體" w:eastAsia="標楷體" w:hAnsi="標楷體" w:hint="eastAsia"/>
              </w:rPr>
              <w:t>公頃以上。</w:t>
            </w:r>
          </w:p>
        </w:tc>
      </w:tr>
      <w:tr w:rsidR="005A1939" w:rsidRPr="002B4413" w:rsidTr="005A1939">
        <w:trPr>
          <w:tblHeader/>
          <w:jc w:val="center"/>
        </w:trPr>
        <w:tc>
          <w:tcPr>
            <w:tcW w:w="927" w:type="pct"/>
            <w:vMerge/>
            <w:tcBorders>
              <w:left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927" w:type="pct"/>
            <w:vMerge w:val="restart"/>
            <w:tcBorders>
              <w:top w:val="single" w:sz="4" w:space="0" w:color="auto"/>
              <w:left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r w:rsidRPr="002B4413">
              <w:rPr>
                <w:rFonts w:ascii="標楷體" w:eastAsia="標楷體" w:hAnsi="標楷體" w:hint="eastAsia"/>
              </w:rPr>
              <w:t>文化設施</w:t>
            </w:r>
          </w:p>
        </w:tc>
        <w:tc>
          <w:tcPr>
            <w:tcW w:w="1129" w:type="pct"/>
            <w:tcBorders>
              <w:top w:val="single" w:sz="4" w:space="0" w:color="auto"/>
              <w:left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博物館</w:t>
            </w:r>
          </w:p>
        </w:tc>
        <w:tc>
          <w:tcPr>
            <w:tcW w:w="2017" w:type="pct"/>
            <w:tcBorders>
              <w:top w:val="single" w:sz="4" w:space="0" w:color="auto"/>
              <w:left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新設、擴大或變更計畫土地面積達</w:t>
            </w:r>
            <w:r w:rsidRPr="002B4413">
              <w:rPr>
                <w:rFonts w:ascii="標楷體" w:eastAsia="標楷體" w:hAnsi="標楷體"/>
              </w:rPr>
              <w:t>十</w:t>
            </w:r>
            <w:r w:rsidRPr="002B4413">
              <w:rPr>
                <w:rFonts w:ascii="標楷體" w:eastAsia="標楷體" w:hAnsi="標楷體" w:hint="eastAsia"/>
              </w:rPr>
              <w:t>公頃以上。</w:t>
            </w:r>
          </w:p>
        </w:tc>
      </w:tr>
      <w:tr w:rsidR="005A1939" w:rsidRPr="002B4413" w:rsidTr="005A1939">
        <w:trPr>
          <w:tblHeader/>
          <w:jc w:val="center"/>
        </w:trPr>
        <w:tc>
          <w:tcPr>
            <w:tcW w:w="927" w:type="pct"/>
            <w:vMerge/>
            <w:tcBorders>
              <w:left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927" w:type="pct"/>
            <w:vMerge/>
            <w:tcBorders>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表演設施</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新增或擴增觀眾座位席次總數達三千席以上，或新設、擴大或變更計畫土地面積達五公頃以上。</w:t>
            </w:r>
          </w:p>
        </w:tc>
      </w:tr>
      <w:tr w:rsidR="005A1939" w:rsidRPr="002B4413" w:rsidTr="005A1939">
        <w:trPr>
          <w:tblHeader/>
          <w:jc w:val="center"/>
        </w:trPr>
        <w:tc>
          <w:tcPr>
            <w:tcW w:w="927" w:type="pct"/>
            <w:vMerge/>
            <w:tcBorders>
              <w:left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927" w:type="pct"/>
            <w:tcBorders>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r w:rsidRPr="002B4413">
              <w:rPr>
                <w:rFonts w:ascii="標楷體" w:eastAsia="標楷體" w:hAnsi="標楷體" w:hint="eastAsia"/>
              </w:rPr>
              <w:t>文化創意產業相關設施</w:t>
            </w: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ind w:leftChars="-25" w:left="-60" w:rightChars="-25" w:right="-60"/>
              <w:jc w:val="both"/>
              <w:rPr>
                <w:rFonts w:ascii="標楷體" w:eastAsia="標楷體" w:hAnsi="標楷體"/>
              </w:rPr>
            </w:pPr>
            <w:r w:rsidRPr="002B4413">
              <w:rPr>
                <w:rFonts w:ascii="標楷體" w:eastAsia="標楷體" w:hAnsi="標楷體" w:hint="eastAsia"/>
              </w:rPr>
              <w:t>影(視)音、工藝、出版產業等設施及園區</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ind w:leftChars="-25" w:left="-60" w:rightChars="-25" w:right="-60"/>
              <w:jc w:val="both"/>
              <w:rPr>
                <w:rFonts w:ascii="標楷體" w:eastAsia="標楷體" w:hAnsi="標楷體"/>
              </w:rPr>
            </w:pPr>
            <w:r w:rsidRPr="002B4413">
              <w:rPr>
                <w:rFonts w:ascii="標楷體" w:eastAsia="標楷體" w:hAnsi="標楷體" w:hint="eastAsia"/>
              </w:rPr>
              <w:t>新設、擴大或變更計畫土地面積達十公頃以上。</w:t>
            </w:r>
          </w:p>
        </w:tc>
      </w:tr>
      <w:tr w:rsidR="005A1939" w:rsidRPr="002B4413" w:rsidTr="005A1939">
        <w:trPr>
          <w:tblHeader/>
          <w:jc w:val="center"/>
        </w:trPr>
        <w:tc>
          <w:tcPr>
            <w:tcW w:w="927" w:type="pct"/>
            <w:vMerge/>
            <w:tcBorders>
              <w:left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927" w:type="pct"/>
            <w:vMerge w:val="restart"/>
            <w:tcBorders>
              <w:top w:val="single" w:sz="4" w:space="0" w:color="auto"/>
              <w:left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r w:rsidRPr="002B4413">
              <w:rPr>
                <w:rFonts w:ascii="標楷體" w:eastAsia="標楷體" w:hAnsi="標楷體" w:hint="eastAsia"/>
              </w:rPr>
              <w:t>教育設施</w:t>
            </w: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大型體育運動場館</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新設、擴大或變更計畫土地面積達五公頃以上。</w:t>
            </w:r>
          </w:p>
        </w:tc>
      </w:tr>
      <w:tr w:rsidR="005A1939" w:rsidRPr="002B4413" w:rsidTr="005A1939">
        <w:trPr>
          <w:tblHeader/>
          <w:jc w:val="center"/>
        </w:trPr>
        <w:tc>
          <w:tcPr>
            <w:tcW w:w="927" w:type="pct"/>
            <w:vMerge/>
            <w:tcBorders>
              <w:left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927" w:type="pct"/>
            <w:vMerge/>
            <w:tcBorders>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ind w:leftChars="-25" w:left="-60" w:rightChars="-25" w:right="-60"/>
              <w:jc w:val="both"/>
              <w:rPr>
                <w:rFonts w:ascii="標楷體" w:eastAsia="標楷體" w:hAnsi="標楷體"/>
              </w:rPr>
            </w:pPr>
            <w:r w:rsidRPr="002B4413">
              <w:rPr>
                <w:rFonts w:ascii="標楷體" w:eastAsia="標楷體" w:hAnsi="標楷體" w:hint="eastAsia"/>
              </w:rPr>
              <w:t>大學、技專校院、高級中等學校</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ind w:leftChars="-25" w:left="-60" w:rightChars="-25" w:right="-60"/>
              <w:jc w:val="both"/>
              <w:rPr>
                <w:rFonts w:ascii="標楷體" w:eastAsia="標楷體" w:hAnsi="標楷體"/>
              </w:rPr>
            </w:pPr>
            <w:r w:rsidRPr="002B4413">
              <w:rPr>
                <w:rFonts w:ascii="標楷體" w:eastAsia="標楷體" w:hAnsi="標楷體" w:hint="eastAsia"/>
              </w:rPr>
              <w:t>新設、擴大或變更計畫土地面積達十公頃以上。</w:t>
            </w:r>
          </w:p>
        </w:tc>
      </w:tr>
      <w:tr w:rsidR="005A1939" w:rsidRPr="002B4413" w:rsidTr="005A1939">
        <w:trPr>
          <w:tblHeader/>
          <w:jc w:val="center"/>
        </w:trPr>
        <w:tc>
          <w:tcPr>
            <w:tcW w:w="927" w:type="pct"/>
            <w:vMerge/>
            <w:tcBorders>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r w:rsidRPr="002B4413">
              <w:rPr>
                <w:rFonts w:ascii="標楷體" w:eastAsia="標楷體" w:hAnsi="標楷體" w:hint="eastAsia"/>
              </w:rPr>
              <w:t>環保設施</w:t>
            </w: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ind w:leftChars="-25" w:left="-60" w:rightChars="-25" w:right="-60"/>
              <w:jc w:val="both"/>
              <w:rPr>
                <w:rFonts w:ascii="標楷體" w:eastAsia="標楷體" w:hAnsi="標楷體"/>
              </w:rPr>
            </w:pPr>
            <w:r w:rsidRPr="002B4413">
              <w:rPr>
                <w:rFonts w:ascii="標楷體" w:eastAsia="標楷體" w:hAnsi="標楷體" w:hint="eastAsia"/>
              </w:rPr>
              <w:t>一般廢棄物或事業廢棄物掩埋場或焚化廠</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ind w:leftChars="-25" w:left="-60" w:rightChars="-25" w:right="-60"/>
              <w:jc w:val="both"/>
              <w:rPr>
                <w:rFonts w:ascii="標楷體" w:eastAsia="標楷體" w:hAnsi="標楷體"/>
              </w:rPr>
            </w:pPr>
            <w:r w:rsidRPr="002B4413">
              <w:rPr>
                <w:rFonts w:ascii="標楷體" w:eastAsia="標楷體" w:hAnsi="標楷體" w:hint="eastAsia"/>
              </w:rPr>
              <w:t>新設、擴大或變更計畫土地面積達二公頃以上。</w:t>
            </w:r>
          </w:p>
        </w:tc>
      </w:tr>
      <w:tr w:rsidR="005A1939" w:rsidRPr="002B4413" w:rsidTr="005A1939">
        <w:trPr>
          <w:tblHeader/>
          <w:jc w:val="center"/>
        </w:trPr>
        <w:tc>
          <w:tcPr>
            <w:tcW w:w="927" w:type="pct"/>
            <w:vMerge w:val="restart"/>
            <w:tcBorders>
              <w:top w:val="single" w:sz="4" w:space="0" w:color="auto"/>
              <w:left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r w:rsidRPr="002B4413">
              <w:rPr>
                <w:rFonts w:ascii="標楷體" w:eastAsia="標楷體" w:hAnsi="標楷體" w:hint="eastAsia"/>
              </w:rPr>
              <w:t>五、能源</w:t>
            </w: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r w:rsidRPr="002B4413">
              <w:rPr>
                <w:rFonts w:ascii="標楷體" w:eastAsia="標楷體" w:hAnsi="標楷體" w:hint="eastAsia"/>
              </w:rPr>
              <w:t>能源設施</w:t>
            </w:r>
          </w:p>
        </w:tc>
        <w:tc>
          <w:tcPr>
            <w:tcW w:w="1129" w:type="pct"/>
            <w:tcBorders>
              <w:top w:val="single" w:sz="4" w:space="0" w:color="auto"/>
              <w:left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核能、火力、水力、風力、太陽能、地熱、其他能源設施</w:t>
            </w:r>
          </w:p>
        </w:tc>
        <w:tc>
          <w:tcPr>
            <w:tcW w:w="2017" w:type="pct"/>
            <w:tcBorders>
              <w:top w:val="single" w:sz="4" w:space="0" w:color="auto"/>
              <w:left w:val="single" w:sz="4" w:space="0" w:color="auto"/>
              <w:right w:val="single" w:sz="4" w:space="0" w:color="auto"/>
            </w:tcBorders>
            <w:shd w:val="clear" w:color="auto" w:fill="auto"/>
          </w:tcPr>
          <w:p w:rsidR="00462751" w:rsidRPr="002B4413" w:rsidRDefault="00462751" w:rsidP="005A1939">
            <w:pPr>
              <w:ind w:left="2"/>
              <w:jc w:val="both"/>
              <w:rPr>
                <w:rFonts w:ascii="標楷體" w:eastAsia="標楷體" w:hAnsi="標楷體"/>
              </w:rPr>
            </w:pPr>
            <w:r w:rsidRPr="002B4413">
              <w:rPr>
                <w:rFonts w:ascii="標楷體" w:eastAsia="標楷體" w:hAnsi="標楷體" w:hint="eastAsia"/>
              </w:rPr>
              <w:t>新設、擴大或變更計畫土地面積達</w:t>
            </w:r>
            <w:r w:rsidRPr="002B4413">
              <w:rPr>
                <w:rFonts w:ascii="標楷體" w:eastAsia="標楷體" w:hAnsi="標楷體"/>
              </w:rPr>
              <w:t>三十</w:t>
            </w:r>
            <w:r w:rsidRPr="002B4413">
              <w:rPr>
                <w:rFonts w:ascii="標楷體" w:eastAsia="標楷體" w:hAnsi="標楷體" w:hint="eastAsia"/>
              </w:rPr>
              <w:t>公頃以上。</w:t>
            </w:r>
          </w:p>
        </w:tc>
      </w:tr>
      <w:tr w:rsidR="005A1939" w:rsidRPr="002B4413" w:rsidTr="005A1939">
        <w:trPr>
          <w:tblHeader/>
          <w:jc w:val="center"/>
        </w:trPr>
        <w:tc>
          <w:tcPr>
            <w:tcW w:w="927" w:type="pct"/>
            <w:vMerge/>
            <w:tcBorders>
              <w:top w:val="single" w:sz="4" w:space="0" w:color="auto"/>
              <w:left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ind w:leftChars="-25" w:left="-60" w:rightChars="-25" w:right="-60"/>
              <w:jc w:val="both"/>
              <w:rPr>
                <w:rFonts w:ascii="標楷體" w:eastAsia="標楷體" w:hAnsi="標楷體"/>
              </w:rPr>
            </w:pPr>
            <w:r w:rsidRPr="002B4413">
              <w:rPr>
                <w:rFonts w:ascii="標楷體" w:eastAsia="標楷體" w:hAnsi="標楷體"/>
              </w:rPr>
              <w:t>石油、石油製品或天然氣設施</w:t>
            </w:r>
          </w:p>
        </w:tc>
        <w:tc>
          <w:tcPr>
            <w:tcW w:w="1129" w:type="pct"/>
            <w:tcBorders>
              <w:top w:val="single" w:sz="4" w:space="0" w:color="auto"/>
              <w:left w:val="single" w:sz="4" w:space="0" w:color="auto"/>
              <w:right w:val="single" w:sz="4" w:space="0" w:color="auto"/>
            </w:tcBorders>
            <w:shd w:val="clear" w:color="auto" w:fill="auto"/>
          </w:tcPr>
          <w:p w:rsidR="00462751" w:rsidRPr="002B4413" w:rsidRDefault="00462751" w:rsidP="005A1939">
            <w:pPr>
              <w:ind w:leftChars="-25" w:left="-60" w:rightChars="-25" w:right="-60"/>
              <w:jc w:val="both"/>
              <w:rPr>
                <w:rFonts w:ascii="標楷體" w:eastAsia="標楷體" w:hAnsi="標楷體"/>
              </w:rPr>
            </w:pPr>
            <w:r w:rsidRPr="002B4413">
              <w:rPr>
                <w:rFonts w:ascii="標楷體" w:eastAsia="標楷體" w:hAnsi="標楷體"/>
              </w:rPr>
              <w:t>石油、石油製品貯存槽或天然氣貯存槽</w:t>
            </w:r>
          </w:p>
        </w:tc>
        <w:tc>
          <w:tcPr>
            <w:tcW w:w="2017" w:type="pct"/>
            <w:tcBorders>
              <w:top w:val="single" w:sz="4" w:space="0" w:color="auto"/>
              <w:left w:val="single" w:sz="4" w:space="0" w:color="auto"/>
              <w:right w:val="single" w:sz="4" w:space="0" w:color="auto"/>
            </w:tcBorders>
            <w:shd w:val="clear" w:color="auto" w:fill="auto"/>
          </w:tcPr>
          <w:p w:rsidR="00462751" w:rsidRPr="002B4413" w:rsidRDefault="00462751" w:rsidP="005A1939">
            <w:pPr>
              <w:ind w:leftChars="-25" w:left="-60" w:rightChars="-25" w:right="-60"/>
              <w:jc w:val="both"/>
              <w:rPr>
                <w:rFonts w:ascii="標楷體" w:eastAsia="標楷體" w:hAnsi="標楷體"/>
              </w:rPr>
            </w:pPr>
            <w:r w:rsidRPr="002B4413">
              <w:rPr>
                <w:rFonts w:ascii="標楷體" w:eastAsia="標楷體" w:hAnsi="標楷體" w:hint="eastAsia"/>
              </w:rPr>
              <w:t>新設、擴大或變更計畫土地面積達</w:t>
            </w:r>
            <w:r w:rsidRPr="002B4413">
              <w:rPr>
                <w:rFonts w:ascii="標楷體" w:eastAsia="標楷體" w:hAnsi="標楷體"/>
              </w:rPr>
              <w:t>三十</w:t>
            </w:r>
            <w:r w:rsidRPr="002B4413">
              <w:rPr>
                <w:rFonts w:ascii="標楷體" w:eastAsia="標楷體" w:hAnsi="標楷體" w:hint="eastAsia"/>
              </w:rPr>
              <w:t>公頃以上。</w:t>
            </w:r>
          </w:p>
        </w:tc>
      </w:tr>
      <w:tr w:rsidR="005A1939" w:rsidRPr="002B4413" w:rsidTr="005A1939">
        <w:trPr>
          <w:tblHeader/>
          <w:jc w:val="center"/>
        </w:trPr>
        <w:tc>
          <w:tcPr>
            <w:tcW w:w="927" w:type="pct"/>
            <w:vMerge/>
            <w:tcBorders>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天然氣設施</w:t>
            </w:r>
          </w:p>
        </w:tc>
        <w:tc>
          <w:tcPr>
            <w:tcW w:w="1129" w:type="pct"/>
            <w:tcBorders>
              <w:top w:val="single" w:sz="4" w:space="0" w:color="auto"/>
              <w:left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液化天然氣接收站</w:t>
            </w:r>
          </w:p>
        </w:tc>
        <w:tc>
          <w:tcPr>
            <w:tcW w:w="2017" w:type="pct"/>
            <w:tcBorders>
              <w:top w:val="single" w:sz="4" w:space="0" w:color="auto"/>
              <w:left w:val="single" w:sz="4" w:space="0" w:color="auto"/>
              <w:right w:val="single" w:sz="4" w:space="0" w:color="auto"/>
            </w:tcBorders>
            <w:shd w:val="clear" w:color="auto" w:fill="auto"/>
            <w:vAlign w:val="center"/>
          </w:tcPr>
          <w:p w:rsidR="00462751" w:rsidRPr="002B4413" w:rsidRDefault="00462751" w:rsidP="005A1939">
            <w:pPr>
              <w:jc w:val="both"/>
              <w:rPr>
                <w:rFonts w:ascii="標楷體" w:eastAsia="標楷體" w:hAnsi="標楷體"/>
              </w:rPr>
            </w:pPr>
            <w:r w:rsidRPr="002B4413">
              <w:rPr>
                <w:rFonts w:ascii="標楷體" w:eastAsia="標楷體" w:hAnsi="標楷體" w:hint="eastAsia"/>
              </w:rPr>
              <w:t>新增或擴增液化天然氣接收站每年進口規劃營運量為三百萬公噸以上，或新設、擴大或變更計畫土地面積達</w:t>
            </w:r>
            <w:r w:rsidRPr="002B4413">
              <w:rPr>
                <w:rFonts w:ascii="標楷體" w:eastAsia="標楷體" w:hAnsi="標楷體"/>
              </w:rPr>
              <w:t>三十</w:t>
            </w:r>
            <w:r w:rsidRPr="002B4413">
              <w:rPr>
                <w:rFonts w:ascii="標楷體" w:eastAsia="標楷體" w:hAnsi="標楷體" w:hint="eastAsia"/>
              </w:rPr>
              <w:t>公頃以上。</w:t>
            </w:r>
          </w:p>
        </w:tc>
      </w:tr>
      <w:tr w:rsidR="005A1939" w:rsidRPr="002B4413" w:rsidTr="005A1939">
        <w:trPr>
          <w:tblHeader/>
          <w:jc w:val="center"/>
        </w:trPr>
        <w:tc>
          <w:tcPr>
            <w:tcW w:w="927" w:type="pct"/>
            <w:vMerge w:val="restart"/>
            <w:tcBorders>
              <w:top w:val="single" w:sz="4" w:space="0" w:color="auto"/>
              <w:left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r w:rsidRPr="002B4413">
              <w:rPr>
                <w:rFonts w:ascii="標楷體" w:eastAsia="標楷體" w:hAnsi="標楷體" w:hint="eastAsia"/>
              </w:rPr>
              <w:t>六、水利</w:t>
            </w:r>
          </w:p>
        </w:tc>
        <w:tc>
          <w:tcPr>
            <w:tcW w:w="927" w:type="pct"/>
            <w:vMerge w:val="restart"/>
            <w:tcBorders>
              <w:top w:val="single" w:sz="4" w:space="0" w:color="auto"/>
              <w:left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r w:rsidRPr="002B4413">
              <w:rPr>
                <w:rFonts w:ascii="標楷體" w:eastAsia="標楷體" w:hAnsi="標楷體" w:hint="eastAsia"/>
              </w:rPr>
              <w:t>水資源設施</w:t>
            </w: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jc w:val="both"/>
              <w:rPr>
                <w:rFonts w:ascii="標楷體" w:eastAsia="標楷體" w:hAnsi="標楷體"/>
              </w:rPr>
            </w:pPr>
            <w:r w:rsidRPr="002B4413">
              <w:rPr>
                <w:rFonts w:ascii="標楷體" w:eastAsia="標楷體" w:hAnsi="標楷體" w:hint="eastAsia"/>
              </w:rPr>
              <w:t>蓄水工程</w:t>
            </w:r>
          </w:p>
        </w:tc>
        <w:tc>
          <w:tcPr>
            <w:tcW w:w="2017" w:type="pct"/>
            <w:tcBorders>
              <w:top w:val="single" w:sz="4" w:space="0" w:color="auto"/>
              <w:left w:val="single" w:sz="4" w:space="0" w:color="auto"/>
              <w:bottom w:val="single" w:sz="4" w:space="0" w:color="auto"/>
              <w:right w:val="single" w:sz="4" w:space="0" w:color="auto"/>
            </w:tcBorders>
            <w:shd w:val="clear" w:color="auto" w:fill="auto"/>
            <w:vAlign w:val="center"/>
          </w:tcPr>
          <w:p w:rsidR="00462751" w:rsidRPr="002B4413" w:rsidRDefault="00462751" w:rsidP="005A1939">
            <w:pPr>
              <w:jc w:val="both"/>
              <w:rPr>
                <w:rFonts w:ascii="標楷體" w:eastAsia="標楷體" w:hAnsi="標楷體"/>
              </w:rPr>
            </w:pPr>
            <w:r w:rsidRPr="002B4413">
              <w:rPr>
                <w:rFonts w:ascii="標楷體" w:eastAsia="標楷體" w:hAnsi="標楷體" w:hint="eastAsia"/>
              </w:rPr>
              <w:t>新設、擴大或變更計畫蓄水範圍面積達</w:t>
            </w:r>
            <w:r w:rsidRPr="002B4413">
              <w:rPr>
                <w:rFonts w:ascii="標楷體" w:eastAsia="標楷體" w:hAnsi="標楷體"/>
              </w:rPr>
              <w:t>一百</w:t>
            </w:r>
            <w:r w:rsidRPr="002B4413">
              <w:rPr>
                <w:rFonts w:ascii="標楷體" w:eastAsia="標楷體" w:hAnsi="標楷體" w:hint="eastAsia"/>
              </w:rPr>
              <w:t>公頃以上。</w:t>
            </w:r>
          </w:p>
        </w:tc>
      </w:tr>
      <w:tr w:rsidR="005A1939" w:rsidRPr="002B4413" w:rsidTr="005A1939">
        <w:trPr>
          <w:tblHeader/>
          <w:jc w:val="center"/>
        </w:trPr>
        <w:tc>
          <w:tcPr>
            <w:tcW w:w="927" w:type="pct"/>
            <w:vMerge/>
            <w:tcBorders>
              <w:left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927" w:type="pct"/>
            <w:vMerge/>
            <w:tcBorders>
              <w:left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ind w:leftChars="-25" w:left="-60" w:rightChars="-25" w:right="-60"/>
              <w:jc w:val="both"/>
              <w:rPr>
                <w:rFonts w:ascii="標楷體" w:eastAsia="標楷體" w:hAnsi="標楷體"/>
              </w:rPr>
            </w:pPr>
            <w:r w:rsidRPr="002B4413">
              <w:rPr>
                <w:rFonts w:ascii="標楷體" w:eastAsia="標楷體" w:hAnsi="標楷體"/>
              </w:rPr>
              <w:t>引水工程</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ind w:leftChars="-25" w:left="-60" w:rightChars="-25" w:right="-60"/>
              <w:jc w:val="both"/>
              <w:rPr>
                <w:rFonts w:ascii="標楷體" w:eastAsia="標楷體" w:hAnsi="標楷體"/>
              </w:rPr>
            </w:pPr>
            <w:r w:rsidRPr="002B4413">
              <w:rPr>
                <w:rFonts w:ascii="標楷體" w:eastAsia="標楷體" w:hAnsi="標楷體"/>
              </w:rPr>
              <w:t>管線新建、改建或延伸工程長度達</w:t>
            </w:r>
            <w:r w:rsidRPr="002B4413">
              <w:rPr>
                <w:rFonts w:ascii="標楷體" w:eastAsia="標楷體" w:hAnsi="標楷體" w:hint="eastAsia"/>
              </w:rPr>
              <w:t>十</w:t>
            </w:r>
            <w:r w:rsidRPr="002B4413">
              <w:rPr>
                <w:rFonts w:ascii="標楷體" w:eastAsia="標楷體" w:hAnsi="標楷體"/>
              </w:rPr>
              <w:t>公里以上</w:t>
            </w:r>
            <w:r w:rsidRPr="002B4413">
              <w:rPr>
                <w:rFonts w:ascii="標楷體" w:eastAsia="標楷體" w:hAnsi="標楷體" w:hint="eastAsia"/>
              </w:rPr>
              <w:t>。</w:t>
            </w:r>
          </w:p>
        </w:tc>
      </w:tr>
      <w:tr w:rsidR="005A1939" w:rsidRPr="002B4413" w:rsidTr="005A1939">
        <w:trPr>
          <w:tblHeader/>
          <w:jc w:val="center"/>
        </w:trPr>
        <w:tc>
          <w:tcPr>
            <w:tcW w:w="927" w:type="pct"/>
            <w:vMerge/>
            <w:tcBorders>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927" w:type="pct"/>
            <w:vMerge/>
            <w:tcBorders>
              <w:left w:val="single" w:sz="4" w:space="0" w:color="auto"/>
              <w:bottom w:val="single" w:sz="4" w:space="0" w:color="auto"/>
              <w:right w:val="single" w:sz="4" w:space="0" w:color="auto"/>
            </w:tcBorders>
            <w:shd w:val="clear" w:color="auto" w:fill="auto"/>
          </w:tcPr>
          <w:p w:rsidR="00462751" w:rsidRPr="002B4413" w:rsidRDefault="00462751" w:rsidP="005A1939">
            <w:pPr>
              <w:rPr>
                <w:rFonts w:ascii="標楷體" w:eastAsia="標楷體" w:hAnsi="標楷體"/>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ind w:leftChars="-25" w:left="-60" w:rightChars="-25" w:right="-60"/>
              <w:jc w:val="both"/>
              <w:rPr>
                <w:rFonts w:ascii="標楷體" w:eastAsia="標楷體" w:hAnsi="標楷體"/>
              </w:rPr>
            </w:pPr>
            <w:r w:rsidRPr="002B4413">
              <w:rPr>
                <w:rFonts w:ascii="標楷體" w:eastAsia="標楷體" w:hAnsi="標楷體"/>
              </w:rPr>
              <w:t>防洪排水工程</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462751" w:rsidRPr="002B4413" w:rsidRDefault="00462751" w:rsidP="005A1939">
            <w:pPr>
              <w:ind w:leftChars="-25" w:left="-60" w:rightChars="-25" w:right="-60"/>
              <w:jc w:val="both"/>
              <w:rPr>
                <w:rFonts w:ascii="標楷體" w:eastAsia="標楷體" w:hAnsi="標楷體"/>
              </w:rPr>
            </w:pPr>
            <w:r w:rsidRPr="002B4413">
              <w:rPr>
                <w:rFonts w:ascii="標楷體" w:eastAsia="標楷體" w:hAnsi="標楷體" w:hint="eastAsia"/>
              </w:rPr>
              <w:t>河道</w:t>
            </w:r>
            <w:r w:rsidRPr="002B4413">
              <w:rPr>
                <w:rFonts w:ascii="標楷體" w:eastAsia="標楷體" w:hAnsi="標楷體"/>
              </w:rPr>
              <w:t>改道長度達</w:t>
            </w:r>
            <w:r w:rsidRPr="002B4413">
              <w:rPr>
                <w:rFonts w:ascii="標楷體" w:eastAsia="標楷體" w:hAnsi="標楷體" w:hint="eastAsia"/>
              </w:rPr>
              <w:t>十</w:t>
            </w:r>
            <w:r w:rsidRPr="002B4413">
              <w:rPr>
                <w:rFonts w:ascii="標楷體" w:eastAsia="標楷體" w:hAnsi="標楷體"/>
              </w:rPr>
              <w:t>公里以上，或新設、擴大或變更滯洪池工程面積達</w:t>
            </w:r>
            <w:r w:rsidRPr="002B4413">
              <w:rPr>
                <w:rFonts w:ascii="標楷體" w:eastAsia="標楷體" w:hAnsi="標楷體" w:hint="eastAsia"/>
              </w:rPr>
              <w:t>一百</w:t>
            </w:r>
            <w:r w:rsidRPr="002B4413">
              <w:rPr>
                <w:rFonts w:ascii="標楷體" w:eastAsia="標楷體" w:hAnsi="標楷體"/>
              </w:rPr>
              <w:t>公頃以上。</w:t>
            </w:r>
          </w:p>
        </w:tc>
      </w:tr>
    </w:tbl>
    <w:p w:rsidR="005A1939" w:rsidRPr="002B4413" w:rsidRDefault="005A1939" w:rsidP="005A1939">
      <w:pPr>
        <w:pStyle w:val="2411"/>
        <w:adjustRightInd w:val="0"/>
        <w:jc w:val="left"/>
        <w:rPr>
          <w:color w:val="auto"/>
          <w:u w:val="none"/>
        </w:rPr>
      </w:pPr>
      <w:r w:rsidRPr="002B4413">
        <w:rPr>
          <w:rFonts w:hint="eastAsia"/>
          <w:color w:val="auto"/>
          <w:u w:val="none"/>
        </w:rPr>
        <w:t>備註：</w:t>
      </w:r>
    </w:p>
    <w:p w:rsidR="005A1939" w:rsidRPr="002B4413" w:rsidRDefault="005A1939" w:rsidP="005A1939">
      <w:pPr>
        <w:pStyle w:val="2411"/>
        <w:adjustRightInd w:val="0"/>
        <w:ind w:left="240" w:hangingChars="100" w:hanging="240"/>
        <w:jc w:val="left"/>
        <w:rPr>
          <w:color w:val="auto"/>
          <w:u w:val="none"/>
        </w:rPr>
      </w:pPr>
      <w:r w:rsidRPr="002B4413">
        <w:rPr>
          <w:rFonts w:hint="eastAsia"/>
          <w:color w:val="auto"/>
          <w:u w:val="none"/>
        </w:rPr>
        <w:t>1.</w:t>
      </w:r>
      <w:r>
        <w:rPr>
          <w:rFonts w:hint="eastAsia"/>
          <w:color w:val="auto"/>
          <w:u w:val="none"/>
        </w:rPr>
        <w:t>本附表所定</w:t>
      </w:r>
      <w:r w:rsidRPr="002B4413">
        <w:rPr>
          <w:rFonts w:hint="eastAsia"/>
          <w:color w:val="auto"/>
          <w:u w:val="none"/>
        </w:rPr>
        <w:t>細項為第二條第一項之中長程或個別興辦事業計畫。</w:t>
      </w:r>
    </w:p>
    <w:p w:rsidR="005A1939" w:rsidRPr="002B4413" w:rsidRDefault="005A1939" w:rsidP="005A1939">
      <w:pPr>
        <w:pStyle w:val="2411"/>
        <w:adjustRightInd w:val="0"/>
        <w:ind w:left="240" w:hangingChars="100" w:hanging="240"/>
        <w:jc w:val="left"/>
        <w:rPr>
          <w:color w:val="auto"/>
          <w:u w:val="none"/>
        </w:rPr>
      </w:pPr>
      <w:r w:rsidRPr="002B4413">
        <w:rPr>
          <w:rFonts w:hint="eastAsia"/>
          <w:color w:val="auto"/>
          <w:u w:val="none"/>
        </w:rPr>
        <w:t>2.規模認定之面積、長度或服務量，如屬同一計畫者，應採累計方式計算。</w:t>
      </w:r>
    </w:p>
    <w:p w:rsidR="005A1939" w:rsidRPr="002B4413" w:rsidRDefault="005A1939" w:rsidP="005A1939">
      <w:pPr>
        <w:pStyle w:val="2411"/>
        <w:adjustRightInd w:val="0"/>
        <w:ind w:left="240" w:hangingChars="100" w:hanging="240"/>
        <w:jc w:val="left"/>
        <w:rPr>
          <w:color w:val="auto"/>
          <w:u w:val="none"/>
        </w:rPr>
      </w:pPr>
      <w:r w:rsidRPr="002B4413">
        <w:rPr>
          <w:rFonts w:hint="eastAsia"/>
          <w:color w:val="auto"/>
          <w:u w:val="none"/>
        </w:rPr>
        <w:t>3.重要公共設施部門之文化設施，所稱「表演設施」指提供音樂、舞蹈、戲劇等表演活動場域。</w:t>
      </w:r>
    </w:p>
    <w:p w:rsidR="00760AA0" w:rsidRPr="005A1939" w:rsidRDefault="005A1939" w:rsidP="005A1939">
      <w:pPr>
        <w:pStyle w:val="2411"/>
        <w:adjustRightInd w:val="0"/>
        <w:ind w:left="240" w:hangingChars="100" w:hanging="240"/>
        <w:jc w:val="left"/>
        <w:rPr>
          <w:color w:val="auto"/>
          <w:u w:val="none"/>
        </w:rPr>
      </w:pPr>
      <w:r w:rsidRPr="002B4413">
        <w:rPr>
          <w:rFonts w:hint="eastAsia"/>
          <w:color w:val="auto"/>
          <w:u w:val="none"/>
        </w:rPr>
        <w:t>4.能源部門之能源設施，所稱「其他能源」指</w:t>
      </w:r>
      <w:r w:rsidRPr="002B4413">
        <w:rPr>
          <w:color w:val="auto"/>
          <w:u w:val="none"/>
        </w:rPr>
        <w:t>核能、火力、水力、風力、太陽能、地熱</w:t>
      </w:r>
      <w:r>
        <w:rPr>
          <w:rFonts w:hint="eastAsia"/>
          <w:color w:val="auto"/>
          <w:u w:val="none"/>
        </w:rPr>
        <w:t>以</w:t>
      </w:r>
      <w:r w:rsidRPr="002B4413">
        <w:rPr>
          <w:color w:val="auto"/>
          <w:u w:val="none"/>
        </w:rPr>
        <w:t>外，法律另有規定之其他能源。</w:t>
      </w:r>
    </w:p>
    <w:sectPr w:rsidR="00760AA0" w:rsidRPr="005A1939" w:rsidSect="00760AA0">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B20" w:rsidRDefault="00434B20" w:rsidP="001E270F">
      <w:r>
        <w:separator/>
      </w:r>
    </w:p>
  </w:endnote>
  <w:endnote w:type="continuationSeparator" w:id="0">
    <w:p w:rsidR="00434B20" w:rsidRDefault="00434B20" w:rsidP="001E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B20" w:rsidRDefault="00434B20" w:rsidP="001E270F">
      <w:r>
        <w:separator/>
      </w:r>
    </w:p>
  </w:footnote>
  <w:footnote w:type="continuationSeparator" w:id="0">
    <w:p w:rsidR="00434B20" w:rsidRDefault="00434B20" w:rsidP="001E2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A0"/>
    <w:rsid w:val="001E270F"/>
    <w:rsid w:val="00434B20"/>
    <w:rsid w:val="00462751"/>
    <w:rsid w:val="005A1939"/>
    <w:rsid w:val="00692299"/>
    <w:rsid w:val="00760AA0"/>
    <w:rsid w:val="007D59D8"/>
    <w:rsid w:val="008E5B0A"/>
    <w:rsid w:val="00AE22B4"/>
    <w:rsid w:val="00B83567"/>
    <w:rsid w:val="00DE70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73F42"/>
  <w15:chartTrackingRefBased/>
  <w15:docId w15:val="{ED827508-1824-4744-9607-1A5BC80B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AA0"/>
    <w:pPr>
      <w:ind w:leftChars="200" w:left="480"/>
    </w:pPr>
  </w:style>
  <w:style w:type="paragraph" w:customStyle="1" w:styleId="02">
    <w:name w:val="02_第一條"/>
    <w:basedOn w:val="a"/>
    <w:link w:val="020"/>
    <w:autoRedefine/>
    <w:rsid w:val="00760AA0"/>
    <w:pPr>
      <w:ind w:left="240" w:hangingChars="100" w:hanging="240"/>
      <w:jc w:val="both"/>
    </w:pPr>
    <w:rPr>
      <w:rFonts w:ascii="標楷體" w:eastAsia="標楷體" w:hAnsi="標楷體" w:cs="Times New Roman"/>
      <w:color w:val="FF0000"/>
    </w:rPr>
  </w:style>
  <w:style w:type="paragraph" w:customStyle="1" w:styleId="03">
    <w:name w:val="03_第一項"/>
    <w:basedOn w:val="a"/>
    <w:link w:val="030"/>
    <w:autoRedefine/>
    <w:rsid w:val="00760AA0"/>
    <w:pPr>
      <w:ind w:leftChars="100" w:left="240" w:firstLineChars="200" w:firstLine="480"/>
      <w:jc w:val="both"/>
    </w:pPr>
    <w:rPr>
      <w:rFonts w:ascii="標楷體" w:eastAsia="標楷體" w:hAnsi="標楷體" w:cs="Times New Roman"/>
    </w:rPr>
  </w:style>
  <w:style w:type="character" w:customStyle="1" w:styleId="020">
    <w:name w:val="02_第一條 字元"/>
    <w:link w:val="02"/>
    <w:rsid w:val="00760AA0"/>
    <w:rPr>
      <w:rFonts w:ascii="標楷體" w:eastAsia="標楷體" w:hAnsi="標楷體" w:cs="Times New Roman"/>
      <w:color w:val="FF0000"/>
    </w:rPr>
  </w:style>
  <w:style w:type="paragraph" w:customStyle="1" w:styleId="00">
    <w:name w:val="00_差異"/>
    <w:basedOn w:val="02"/>
    <w:link w:val="000"/>
    <w:autoRedefine/>
    <w:rsid w:val="00760AA0"/>
    <w:rPr>
      <w:u w:val="single"/>
    </w:rPr>
  </w:style>
  <w:style w:type="character" w:customStyle="1" w:styleId="000">
    <w:name w:val="00_差異 字元"/>
    <w:link w:val="00"/>
    <w:rsid w:val="00760AA0"/>
    <w:rPr>
      <w:rFonts w:ascii="標楷體" w:eastAsia="標楷體" w:hAnsi="標楷體" w:cs="Times New Roman"/>
      <w:color w:val="FF0000"/>
      <w:u w:val="single"/>
    </w:rPr>
  </w:style>
  <w:style w:type="character" w:customStyle="1" w:styleId="030">
    <w:name w:val="03_第一項 字元"/>
    <w:link w:val="03"/>
    <w:rsid w:val="00760AA0"/>
    <w:rPr>
      <w:rFonts w:ascii="標楷體" w:eastAsia="標楷體" w:hAnsi="標楷體" w:cs="Times New Roman"/>
    </w:rPr>
  </w:style>
  <w:style w:type="paragraph" w:customStyle="1" w:styleId="-1">
    <w:name w:val="標題-1"/>
    <w:basedOn w:val="a"/>
    <w:uiPriority w:val="99"/>
    <w:rsid w:val="00760AA0"/>
    <w:pPr>
      <w:spacing w:after="120" w:line="240" w:lineRule="atLeast"/>
    </w:pPr>
    <w:rPr>
      <w:rFonts w:ascii="Arial" w:eastAsia="標楷體" w:hAnsi="Arial" w:cs="Arial"/>
      <w:sz w:val="40"/>
      <w:szCs w:val="40"/>
    </w:rPr>
  </w:style>
  <w:style w:type="paragraph" w:customStyle="1" w:styleId="01">
    <w:name w:val="01_條文草案"/>
    <w:basedOn w:val="a"/>
    <w:autoRedefine/>
    <w:rsid w:val="00B83567"/>
    <w:pPr>
      <w:adjustRightInd w:val="0"/>
      <w:spacing w:afterLines="50" w:after="180" w:line="540" w:lineRule="exact"/>
    </w:pPr>
    <w:rPr>
      <w:rFonts w:ascii="標楷體" w:eastAsia="標楷體" w:hAnsi="標楷體" w:cs="標楷體"/>
      <w:b/>
      <w:bCs/>
      <w:color w:val="000000"/>
      <w:sz w:val="36"/>
      <w:szCs w:val="36"/>
    </w:rPr>
  </w:style>
  <w:style w:type="paragraph" w:customStyle="1" w:styleId="2411">
    <w:name w:val="24_表註11."/>
    <w:basedOn w:val="a"/>
    <w:autoRedefine/>
    <w:rsid w:val="00B83567"/>
    <w:pPr>
      <w:ind w:left="480" w:hangingChars="200" w:hanging="480"/>
      <w:jc w:val="both"/>
    </w:pPr>
    <w:rPr>
      <w:rFonts w:ascii="標楷體" w:eastAsia="標楷體" w:hAnsi="標楷體" w:cs="Times New Roman"/>
      <w:color w:val="0000FF"/>
      <w:szCs w:val="24"/>
      <w:u w:val="single"/>
    </w:rPr>
  </w:style>
  <w:style w:type="paragraph" w:styleId="a4">
    <w:name w:val="header"/>
    <w:basedOn w:val="a"/>
    <w:link w:val="a5"/>
    <w:uiPriority w:val="99"/>
    <w:unhideWhenUsed/>
    <w:rsid w:val="001E270F"/>
    <w:pPr>
      <w:tabs>
        <w:tab w:val="center" w:pos="4153"/>
        <w:tab w:val="right" w:pos="8306"/>
      </w:tabs>
      <w:snapToGrid w:val="0"/>
    </w:pPr>
    <w:rPr>
      <w:sz w:val="20"/>
      <w:szCs w:val="20"/>
    </w:rPr>
  </w:style>
  <w:style w:type="character" w:customStyle="1" w:styleId="a5">
    <w:name w:val="頁首 字元"/>
    <w:basedOn w:val="a0"/>
    <w:link w:val="a4"/>
    <w:uiPriority w:val="99"/>
    <w:rsid w:val="001E270F"/>
    <w:rPr>
      <w:sz w:val="20"/>
      <w:szCs w:val="20"/>
    </w:rPr>
  </w:style>
  <w:style w:type="paragraph" w:styleId="a6">
    <w:name w:val="footer"/>
    <w:basedOn w:val="a"/>
    <w:link w:val="a7"/>
    <w:uiPriority w:val="99"/>
    <w:unhideWhenUsed/>
    <w:rsid w:val="001E270F"/>
    <w:pPr>
      <w:tabs>
        <w:tab w:val="center" w:pos="4153"/>
        <w:tab w:val="right" w:pos="8306"/>
      </w:tabs>
      <w:snapToGrid w:val="0"/>
    </w:pPr>
    <w:rPr>
      <w:sz w:val="20"/>
      <w:szCs w:val="20"/>
    </w:rPr>
  </w:style>
  <w:style w:type="character" w:customStyle="1" w:styleId="a7">
    <w:name w:val="頁尾 字元"/>
    <w:basedOn w:val="a0"/>
    <w:link w:val="a6"/>
    <w:uiPriority w:val="99"/>
    <w:rsid w:val="001E270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魏巧蓁</dc:creator>
  <cp:keywords/>
  <dc:description/>
  <cp:lastModifiedBy>魏巧蓁</cp:lastModifiedBy>
  <cp:revision>8</cp:revision>
  <dcterms:created xsi:type="dcterms:W3CDTF">2018-01-22T06:27:00Z</dcterms:created>
  <dcterms:modified xsi:type="dcterms:W3CDTF">2018-02-05T03:24:00Z</dcterms:modified>
</cp:coreProperties>
</file>